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3"/>
      <w:bookmarkStart w:id="1" w:name="bookmark2"/>
      <w:bookmarkStart w:id="2" w:name="_GoBack"/>
      <w:bookmarkEnd w:id="2"/>
      <w:r>
        <w:rPr>
          <w:color w:val="000000"/>
          <w:spacing w:val="0"/>
          <w:w w:val="100"/>
          <w:position w:val="0"/>
          <w:shd w:val="clear" w:color="auto" w:fill="auto"/>
        </w:rPr>
        <w:t>关于做好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年高标准农田建设</w:t>
      </w:r>
      <w:r>
        <w:rPr>
          <w:color w:val="000000"/>
          <w:spacing w:val="0"/>
          <w:w w:val="100"/>
          <w:position w:val="0"/>
          <w:shd w:val="clear" w:color="auto" w:fill="auto"/>
        </w:rPr>
        <w:br w:type="textWrapping"/>
      </w:r>
      <w:r>
        <w:rPr>
          <w:color w:val="000000"/>
          <w:spacing w:val="0"/>
          <w:w w:val="100"/>
          <w:position w:val="0"/>
          <w:shd w:val="clear" w:color="auto" w:fill="auto"/>
        </w:rPr>
        <w:t>防汛抗旱工作的通知</w:t>
      </w:r>
      <w:bookmarkEnd w:id="0"/>
      <w:bookmarkEnd w:id="1"/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各市（州）农业（农牧）农村局：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18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根据农业农村部农田建设管理司《关于做好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年高标 准农田防汛抗旱工作的通知》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｛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农建（高标）〔 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〕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16</w:t>
      </w:r>
      <w:r>
        <w:rPr>
          <w:color w:val="000000"/>
          <w:spacing w:val="0"/>
          <w:w w:val="100"/>
          <w:position w:val="0"/>
          <w:shd w:val="clear" w:color="auto" w:fill="auto"/>
        </w:rPr>
        <w:t>号｝、 农业农村厅《关于扎实做好农业防灾减灾工作的通知》（川农 函〔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〕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333</w:t>
      </w:r>
      <w:r>
        <w:rPr>
          <w:color w:val="000000"/>
          <w:spacing w:val="0"/>
          <w:w w:val="100"/>
          <w:position w:val="0"/>
          <w:shd w:val="clear" w:color="auto" w:fill="auto"/>
        </w:rPr>
        <w:t>号）等文件要求，结合我省高标准农田建设工 作实际，现就做好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年防汛抗旱工作通知如下：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28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  <w:shd w:val="clear" w:color="auto" w:fill="auto"/>
        </w:rPr>
        <w:t>、高度重视，确保准备工作落实到位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28" w:lineRule="exact"/>
        <w:ind w:left="0" w:right="0" w:firstLine="660"/>
        <w:jc w:val="both"/>
      </w:pP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年是全面建成小康社会的收官之年，也是“十三五” 规划的收官之年。抓好高标准农田建设，切实发挥工程在防汛 抗旱中的积极作用保障粮食生产，意义重大。各地要高度重视， 坚持疫情防控、工程建设两手抓，提前做好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hd w:val="clear" w:color="auto" w:fill="auto"/>
        </w:rPr>
        <w:t>年高标准农 田建设防汛准备工作。一是根据农业农村厅印发的《四川省农 业重大自然灾害应急预案》的相关要求，制定高标准农田建设 防汛抗旱工作预案，确保防汛抗旱准备工作落实到位。二是建 立健全应急联动、信息共享、组织协调等工作机制，加强与应 急、气象、水利等部门的会商沟通，提前研判，努力减轻灾害 影响。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二' 落实责任，夯实防汛抗旱工作基础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按照“谁主管、谁负责”的原则，落实责任，全面抓好高 标准农田建设各项工作，夯实防汛抗旱工作基础。一是抢抓 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2019</w:t>
      </w:r>
      <w:r>
        <w:rPr>
          <w:color w:val="000000"/>
          <w:spacing w:val="0"/>
          <w:w w:val="100"/>
          <w:position w:val="0"/>
          <w:shd w:val="clear" w:color="auto" w:fill="auto"/>
        </w:rPr>
        <w:t>年高标准农田建设进度，确保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</w:rPr>
        <w:t>月底完成主体工程建设， 切实发挥高标准农田“旱涝保收”的作用。二是抓好高标准农 田设施安全度汛工作，在汛前完成对项目区的隐患排查。存在 安全隐患的，要及时消除；不能及时消除的隐患，要制定安全 度汛措施。三是抓好灾毁高标准农田设施修复工作。要按照农 业农村厅《关于进一步加强农业灾情调度工作的通知》（川农 函〔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20191 259</w:t>
      </w:r>
      <w:r>
        <w:rPr>
          <w:color w:val="000000"/>
          <w:spacing w:val="0"/>
          <w:w w:val="100"/>
          <w:position w:val="0"/>
          <w:shd w:val="clear" w:color="auto" w:fill="auto"/>
        </w:rPr>
        <w:t>号）相关要求，迅速收集、核实、上报灾毁情 况；要建立健全高标准农田建后管护机制，及时组织对灾毁工 程进行修复。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</w:rPr>
        <w:t>三、加强指导，将防汛抗旱工作落到实处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24" w:lineRule="exact"/>
        <w:ind w:left="0" w:right="0" w:firstLine="660"/>
        <w:jc w:val="both"/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1324" w:right="1675" w:bottom="2064" w:left="1576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各市（州）要加强对辖区内高标准农田建设项目的指导， 通过不定期抽查、实地走访等形式，指导防汛抗旱措施和责任 落实到位。各</w:t>
      </w:r>
      <w:r>
        <w:rPr>
          <w:rFonts w:ascii="Tahoma" w:hAnsi="Tahoma" w:eastAsia="Tahoma" w:cs="Tahom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>T+5”</w:t>
      </w:r>
      <w:r>
        <w:rPr>
          <w:color w:val="000000"/>
          <w:spacing w:val="0"/>
          <w:w w:val="100"/>
          <w:position w:val="0"/>
          <w:shd w:val="clear" w:color="auto" w:fill="auto"/>
        </w:rPr>
        <w:t>督导组要将高标准农田建设及防汛抗旱 工作纳入重要督导内容，定期报告督导情况。近期，我厅将组 织对高标准农田建设及防汛抗旱准备工作进行调研指导，推动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40"/>
        <w:jc w:val="left"/>
      </w:pPr>
      <w:r>
        <w:rPr>
          <w:color w:val="56636B"/>
          <w:spacing w:val="0"/>
          <w:w w:val="100"/>
          <w:position w:val="0"/>
          <w:shd w:val="clear" w:color="auto" w:fill="auto"/>
        </w:rPr>
        <w:t>高标准农田建设防汛抗旱工作落实到位。</w:t>
      </w:r>
    </w:p>
    <w:p>
      <w:pPr>
        <w:widowControl w:val="0"/>
        <w:jc w:val="center"/>
        <w:rPr>
          <w:sz w:val="2"/>
          <w:szCs w:val="2"/>
        </w:rPr>
        <w:sectPr>
          <w:footerReference r:id="rId7" w:type="default"/>
          <w:footnotePr>
            <w:numFmt w:val="decimal"/>
          </w:footnotePr>
          <w:pgSz w:w="11900" w:h="16840"/>
          <w:pgMar w:top="1324" w:right="1675" w:bottom="2064" w:left="1576" w:header="896" w:footer="3" w:gutter="0"/>
          <w:cols w:space="720" w:num="1"/>
          <w:rtlGutter w:val="0"/>
          <w:docGrid w:linePitch="360" w:charSpace="0"/>
        </w:sectPr>
      </w:pPr>
      <w:r>
        <w:drawing>
          <wp:inline distT="0" distB="0" distL="114300" distR="114300">
            <wp:extent cx="1566545" cy="1530350"/>
            <wp:effectExtent l="0" t="0" r="14605" b="1270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信息公开选项：主动公开</w:t>
      </w:r>
    </w:p>
    <w:p>
      <w:pPr>
        <w:pStyle w:val="7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300" w:line="240" w:lineRule="auto"/>
        <w:ind w:left="0" w:right="0" w:firstLine="30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抄送：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>T+5”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督导组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5705"/>
        </w:tabs>
        <w:bidi w:val="0"/>
        <w:spacing w:before="0" w:after="300" w:line="240" w:lineRule="auto"/>
        <w:ind w:left="0" w:right="0" w:firstLine="30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四川省农业农村厅办公室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ab/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2020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4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  <w:t>21</w:t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日印发</w:t>
      </w:r>
    </w:p>
    <w:sectPr>
      <w:footerReference r:id="rId8" w:type="default"/>
      <w:footnotePr>
        <w:numFmt w:val="decimal"/>
      </w:footnotePr>
      <w:pgSz w:w="11900" w:h="16840"/>
      <w:pgMar w:top="12956" w:right="1848" w:bottom="2009" w:left="1594" w:header="12528" w:footer="1581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 Light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ngLiU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1028065</wp:posOffset>
              </wp:positionH>
              <wp:positionV relativeFrom="page">
                <wp:posOffset>9585325</wp:posOffset>
              </wp:positionV>
              <wp:extent cx="28067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806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>-2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zh-CN" w:eastAsia="zh-CN" w:bidi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80.95pt;margin-top:754.75pt;height:9.6pt;width:22.1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BYAAABkcnMvUEsBAhQAFAAAAAgAh07iQGQKIcTYAAAADQEA&#10;AA8AAAAAAAAAAQAgAAAAOAAAAGRycy9kb3ducmV2LnhtbFBLAQIUABQAAAAIAIdO4kAlrDojkgEA&#10;ACQDAAAOAAAAAAAAAAEAIAAAAD0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>-2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zh-CN" w:eastAsia="zh-CN" w:bidi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6121400</wp:posOffset>
              </wp:positionH>
              <wp:positionV relativeFrom="page">
                <wp:posOffset>9594215</wp:posOffset>
              </wp:positionV>
              <wp:extent cx="28321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832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56636B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en-US" w:eastAsia="en-US" w:bidi="en-US"/>
                            </w:rPr>
                            <w:t xml:space="preserve">-3 </w:t>
                          </w:r>
                          <w:r>
                            <w:rPr>
                              <w:color w:val="56636B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zh-CN" w:eastAsia="zh-CN" w:bidi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82pt;margin-top:755.45pt;height:9.6pt;width:22.3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AEIAUf2AAAAA4B&#10;AAAPAAAAAAAAAAEAIAAAADgAAABkcnMvZG93bnJldi54bWxQSwECFAAUAAAACACHTuJAarQpw5MB&#10;AAAk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56636B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en-US" w:eastAsia="en-US" w:bidi="en-US"/>
                      </w:rPr>
                      <w:t xml:space="preserve">-3 </w:t>
                    </w:r>
                    <w:r>
                      <w:rPr>
                        <w:color w:val="56636B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zh-CN" w:eastAsia="zh-CN" w:bidi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B9BF8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Microsoft JhengHei Light" w:cs="Microsoft JhengHei Light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1_"/>
    <w:basedOn w:val="3"/>
    <w:link w:val="5"/>
    <w:qFormat/>
    <w:uiPriority w:val="0"/>
    <w:rPr>
      <w:rFonts w:ascii="MingLiU" w:hAnsi="MingLiU" w:eastAsia="MingLiU" w:cs="MingLiU"/>
      <w:color w:val="F19FA2"/>
      <w:sz w:val="102"/>
      <w:szCs w:val="102"/>
      <w:u w:val="none"/>
      <w:lang w:val="zh-CN" w:eastAsia="zh-CN" w:bidi="zh-CN"/>
    </w:rPr>
  </w:style>
  <w:style w:type="paragraph" w:customStyle="1" w:styleId="5">
    <w:name w:val="标题 #1"/>
    <w:basedOn w:val="1"/>
    <w:link w:val="4"/>
    <w:qFormat/>
    <w:uiPriority w:val="0"/>
    <w:pPr>
      <w:widowControl w:val="0"/>
      <w:shd w:val="clear" w:color="auto" w:fill="FFFFFF"/>
      <w:spacing w:after="160"/>
      <w:jc w:val="right"/>
      <w:outlineLvl w:val="0"/>
    </w:pPr>
    <w:rPr>
      <w:rFonts w:ascii="MingLiU" w:hAnsi="MingLiU" w:eastAsia="MingLiU" w:cs="MingLiU"/>
      <w:color w:val="F19FA2"/>
      <w:sz w:val="102"/>
      <w:szCs w:val="102"/>
      <w:u w:val="none"/>
      <w:lang w:val="zh-CN" w:eastAsia="zh-CN" w:bidi="zh-CN"/>
    </w:rPr>
  </w:style>
  <w:style w:type="character" w:customStyle="1" w:styleId="6">
    <w:name w:val="正文文本_"/>
    <w:basedOn w:val="3"/>
    <w:link w:val="7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7">
    <w:name w:val="正文文本1"/>
    <w:basedOn w:val="1"/>
    <w:link w:val="6"/>
    <w:qFormat/>
    <w:uiPriority w:val="0"/>
    <w:pPr>
      <w:widowControl w:val="0"/>
      <w:shd w:val="clear" w:color="auto" w:fill="FFFFFF"/>
      <w:spacing w:line="418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8">
    <w:name w:val="标题 #2_"/>
    <w:basedOn w:val="3"/>
    <w:link w:val="9"/>
    <w:qFormat/>
    <w:uiPriority w:val="0"/>
    <w:rPr>
      <w:rFonts w:ascii="MingLiU" w:hAnsi="MingLiU" w:eastAsia="MingLiU" w:cs="MingLiU"/>
      <w:sz w:val="42"/>
      <w:szCs w:val="42"/>
      <w:u w:val="none"/>
      <w:lang w:val="zh-CN" w:eastAsia="zh-CN" w:bidi="zh-CN"/>
    </w:rPr>
  </w:style>
  <w:style w:type="paragraph" w:customStyle="1" w:styleId="9">
    <w:name w:val="标题 #2"/>
    <w:basedOn w:val="1"/>
    <w:link w:val="8"/>
    <w:qFormat/>
    <w:uiPriority w:val="0"/>
    <w:pPr>
      <w:widowControl w:val="0"/>
      <w:shd w:val="clear" w:color="auto" w:fill="FFFFFF"/>
      <w:spacing w:after="580" w:line="634" w:lineRule="exact"/>
      <w:jc w:val="center"/>
      <w:outlineLvl w:val="1"/>
    </w:pPr>
    <w:rPr>
      <w:rFonts w:ascii="MingLiU" w:hAnsi="MingLiU" w:eastAsia="MingLiU" w:cs="MingLiU"/>
      <w:sz w:val="42"/>
      <w:szCs w:val="42"/>
      <w:u w:val="none"/>
      <w:lang w:val="zh-CN" w:eastAsia="zh-CN" w:bidi="zh-CN"/>
    </w:rPr>
  </w:style>
  <w:style w:type="character" w:customStyle="1" w:styleId="10">
    <w:name w:val="页眉或页脚 (2)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页眉或页脚 (2)"/>
    <w:basedOn w:val="1"/>
    <w:link w:val="10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2022-04-21T14:31:26Z</dcterms:created>
  <dc:creator>user</dc:creator>
  <cp:lastModifiedBy>！</cp:lastModifiedBy>
  <dcterms:modified xsi:type="dcterms:W3CDTF">2022-04-21T14:32:24Z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