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</w:p>
    <w:tbl>
      <w:tblPr>
        <w:tblStyle w:val="4"/>
        <w:tblW w:w="50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616"/>
        <w:gridCol w:w="1362"/>
        <w:gridCol w:w="313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2025年农田建设市级财政配套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402.84万元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完成2025年农田建设任务。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建设农田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20.5万亩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项目验收合格率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2025年12月底前资金支付率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项目符合招标投标有关规定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全市耕地质量显著提升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显著提升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农民群众满意度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402.84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</w:tr>
    </w:tbl>
    <w:p>
      <w:pPr>
        <w:snapToGrid w:val="0"/>
        <w:jc w:val="left"/>
        <w:rPr>
          <w:rFonts w:eastAsia="黑体"/>
        </w:rPr>
      </w:pPr>
    </w:p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年市级财政衔接推进乡村振兴补助资金</w:t>
      </w:r>
    </w:p>
    <w:p>
      <w:pPr>
        <w:pStyle w:val="2"/>
        <w:spacing w:line="576" w:lineRule="exact"/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绩效目标表</w:t>
      </w:r>
    </w:p>
    <w:tbl>
      <w:tblPr>
        <w:tblStyle w:val="4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635"/>
        <w:gridCol w:w="1377"/>
        <w:gridCol w:w="317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陆生动物疫病病原学监测区域中心建设项目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完成陆生动物疫病病原学监测区域中心建设项目年度投资任务。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建设陆生动物疫病病原学监测区域中心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项目验收合格率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2025年12月底前资金支付率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全市陆生动物疫病病原学监测能力提升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受益群众满意度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≤15万元</w:t>
            </w:r>
          </w:p>
        </w:tc>
      </w:tr>
    </w:tbl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年市级财政衔接推进乡村振兴补助资金</w:t>
      </w:r>
    </w:p>
    <w:p>
      <w:pPr>
        <w:pStyle w:val="2"/>
        <w:spacing w:line="576" w:lineRule="exact"/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绩效目标表</w:t>
      </w:r>
    </w:p>
    <w:tbl>
      <w:tblPr>
        <w:tblStyle w:val="4"/>
        <w:tblW w:w="51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653"/>
        <w:gridCol w:w="1392"/>
        <w:gridCol w:w="320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市级区域性“全程机械化+综合农事”服务中心奖励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150万元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7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实施区域性“全程机械化+综合农事”服务中心建设。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7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奖补区域性“全程机械化+综合农事”服务中心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项目验收合格率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2025年12月底前资金支付率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区域性“全程机械化+综合农事”服务中心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基本满足生产需要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基本满足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受益群众满意度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≤150万元</w:t>
            </w:r>
          </w:p>
        </w:tc>
      </w:tr>
    </w:tbl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年市级财政衔接推进乡村振兴补助资金</w:t>
      </w:r>
    </w:p>
    <w:p>
      <w:pPr>
        <w:pStyle w:val="2"/>
        <w:spacing w:line="576" w:lineRule="exact"/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绩效目标表</w:t>
      </w:r>
    </w:p>
    <w:tbl>
      <w:tblPr>
        <w:tblStyle w:val="4"/>
        <w:tblW w:w="51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637"/>
        <w:gridCol w:w="1382"/>
        <w:gridCol w:w="3180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现代畜牧业发展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584.56万元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对市外引种的能繁母猪、母牛、母羊进行奖补，白羽肉鸡出栏显著提升。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4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完成年度能繁母猪存栏任务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≥20.2万头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完成镇村组业务人员培训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≥400人次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按标准发放补贴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2025年12月底前资金支付率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稳定全市畜禽产品供应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资金使用无重大违规违纪问题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引种养殖户满意度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≤584.56万元</w:t>
            </w:r>
          </w:p>
        </w:tc>
      </w:tr>
    </w:tbl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年市级财政衔接推进乡村振兴补助资金</w:t>
      </w:r>
    </w:p>
    <w:bookmarkEnd w:id="0"/>
    <w:p>
      <w:pPr>
        <w:pStyle w:val="2"/>
        <w:spacing w:line="576" w:lineRule="exact"/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绩效目标表</w:t>
      </w:r>
    </w:p>
    <w:tbl>
      <w:tblPr>
        <w:tblStyle w:val="4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649"/>
        <w:gridCol w:w="1390"/>
        <w:gridCol w:w="320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撂荒地复耕补助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各县（市、区）农业农村部门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266.24万元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6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完成本年度撂荒地复耕补助兑付。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6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撂荒地拟复耕面积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51310亩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复耕撂荒地验收合格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2025年12月底前资金支付率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撂荒地有效控制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有效控制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受益群众满意度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266.24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</w:tr>
    </w:tbl>
    <w:p>
      <w:pPr>
        <w:snapToGrid w:val="0"/>
        <w:jc w:val="left"/>
        <w:rPr>
          <w:rFonts w:eastAsia="黑体"/>
        </w:rPr>
      </w:pPr>
    </w:p>
    <w:p>
      <w:pPr>
        <w:widowControl/>
        <w:jc w:val="left"/>
        <w:rPr>
          <w:rFonts w:eastAsia="黑体"/>
        </w:rPr>
      </w:pPr>
      <w:r>
        <w:rPr>
          <w:rFonts w:eastAsia="黑体"/>
        </w:rPr>
        <w:br w:type="page"/>
      </w:r>
    </w:p>
    <w:p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年市级财政衔接推进乡村振兴补助资金</w:t>
      </w:r>
    </w:p>
    <w:p>
      <w:pPr>
        <w:pStyle w:val="2"/>
        <w:spacing w:line="576" w:lineRule="exact"/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绩效目标表</w:t>
      </w:r>
    </w:p>
    <w:tbl>
      <w:tblPr>
        <w:tblStyle w:val="4"/>
        <w:tblW w:w="50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635"/>
        <w:gridCol w:w="1376"/>
        <w:gridCol w:w="3173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检测能力提升项目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遂宁市农业农村局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市农产品检验监测中心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33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17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完成检测能力提升项目尾款兑付。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217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数量指标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完成检测能力提升项目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项目验收合格率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2025年12月底前资金支付率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社会效益指标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检测能力提升项目采购符合采购要求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</w:rPr>
              <w:t>受益群众满意度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成本控制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1"/>
                <w:szCs w:val="21"/>
                <w:lang w:bidi="ar"/>
              </w:rPr>
              <w:t>≤20万元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63D9D9AC"/>
    <w:rsid w:val="7FFBFBCD"/>
    <w:rsid w:val="F7F7EA89"/>
    <w:rsid w:val="F9B64748"/>
    <w:rsid w:val="FE779C2D"/>
    <w:rsid w:val="FEBD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2025-08-02T01:27:00Z</dcterms:created>
  <dc:creator> </dc:creator>
  <cp:lastModifiedBy> </cp:lastModifiedBy>
  <dcterms:modified xsi:type="dcterms:W3CDTF">2025-11-06T15:45:26Z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