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2025年市级财政衔接推进乡村振兴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补助资金绩效目标表</w:t>
      </w:r>
    </w:p>
    <w:bookmarkEnd w:id="0"/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10"/>
        <w:gridCol w:w="1731"/>
        <w:gridCol w:w="2274"/>
        <w:gridCol w:w="607"/>
        <w:gridCol w:w="443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2025年市级财政衔接推进乡村振兴补助资金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0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市供销社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具体实施单位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县（市、区）供销社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7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资金情况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年度资金总额：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73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其中：财政资金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273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绩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效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目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标</w:t>
            </w:r>
          </w:p>
        </w:tc>
        <w:tc>
          <w:tcPr>
            <w:tcW w:w="8356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目标1：</w:t>
            </w:r>
            <w:r>
              <w:rPr>
                <w:rFonts w:cs="Times New Roman"/>
                <w:bCs/>
                <w:color w:val="000000"/>
                <w:sz w:val="21"/>
                <w:szCs w:val="21"/>
              </w:rPr>
              <w:t>打造示范性为农服务中心1个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目标2：</w:t>
            </w:r>
            <w:r>
              <w:rPr>
                <w:rFonts w:cs="Times New Roman"/>
                <w:color w:val="000000"/>
                <w:sz w:val="21"/>
                <w:szCs w:val="21"/>
              </w:rPr>
              <w:t>打造区域综合为农服务中心1个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目标3：</w:t>
            </w:r>
            <w:r>
              <w:rPr>
                <w:rFonts w:cs="Times New Roman"/>
                <w:bCs/>
                <w:color w:val="000000"/>
                <w:sz w:val="21"/>
                <w:szCs w:val="21"/>
              </w:rPr>
              <w:t>新建（改造）再生资源回收标准化规范化站点2个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绩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效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标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</w:t>
            </w:r>
            <w:r>
              <w:rPr>
                <w:rFonts w:cs="Times New Roman"/>
                <w:bCs/>
                <w:color w:val="000000"/>
                <w:sz w:val="21"/>
                <w:szCs w:val="21"/>
              </w:rPr>
              <w:t>打造示范性为农服务中心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vMerge w:val="continue"/>
            <w:noWrap w:val="0"/>
            <w:vAlign w:val="center"/>
          </w:tcPr>
          <w:p/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指标2：</w:t>
            </w:r>
            <w:r>
              <w:rPr>
                <w:rFonts w:cs="Times New Roman"/>
                <w:color w:val="000000"/>
                <w:sz w:val="21"/>
                <w:szCs w:val="21"/>
              </w:rPr>
              <w:t>打造区域综合为农服务中心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vMerge w:val="continue"/>
            <w:noWrap w:val="0"/>
            <w:vAlign w:val="center"/>
          </w:tcPr>
          <w:p/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指标3：</w:t>
            </w:r>
            <w:r>
              <w:rPr>
                <w:rFonts w:cs="Times New Roman"/>
                <w:bCs/>
                <w:color w:val="000000"/>
                <w:sz w:val="21"/>
                <w:szCs w:val="21"/>
              </w:rPr>
              <w:t>新建（改造）再生资源回收标准化规范化站点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指标1：建设标准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指标1：完成时间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经济效益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</w:t>
            </w:r>
            <w:r>
              <w:rPr>
                <w:rFonts w:cs="Times New Roman"/>
                <w:sz w:val="21"/>
                <w:szCs w:val="21"/>
              </w:rPr>
              <w:t>年增加营业收入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每个为农服务中心不少于20万元，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vMerge w:val="continue"/>
            <w:noWrap w:val="0"/>
            <w:vAlign w:val="center"/>
          </w:tcPr>
          <w:p/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指标2：年增加回收额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每个再生资源回收站点不低于30万元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社会效益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</w:t>
            </w:r>
            <w:r>
              <w:rPr>
                <w:rFonts w:cs="Times New Roman"/>
                <w:sz w:val="21"/>
                <w:szCs w:val="21"/>
              </w:rPr>
              <w:t>为农服务项目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vMerge w:val="continue"/>
            <w:noWrap w:val="0"/>
            <w:vAlign w:val="center"/>
          </w:tcPr>
          <w:p/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指标2：回收品类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不少于3种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vMerge w:val="continue"/>
            <w:noWrap w:val="0"/>
            <w:vAlign w:val="center"/>
          </w:tcPr>
          <w:p/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可持续影响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</w:t>
            </w:r>
            <w:r>
              <w:rPr>
                <w:rFonts w:cs="Times New Roman"/>
                <w:sz w:val="21"/>
                <w:szCs w:val="21"/>
              </w:rPr>
              <w:t>经营时限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13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服务对象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</w:t>
            </w:r>
            <w:r>
              <w:rPr>
                <w:rFonts w:cs="Times New Roman"/>
                <w:color w:val="000000"/>
                <w:sz w:val="21"/>
                <w:szCs w:val="21"/>
              </w:rPr>
              <w:t>服务群众满意度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〉</w:t>
            </w:r>
            <w:r>
              <w:rPr>
                <w:rFonts w:cs="Times New Roman"/>
                <w:sz w:val="21"/>
                <w:szCs w:val="21"/>
              </w:rPr>
              <w:t>90﹪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20" w:lineRule="exac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经济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指标1：</w:t>
            </w:r>
            <w:r>
              <w:rPr>
                <w:rFonts w:cs="Times New Roman"/>
                <w:color w:val="000000"/>
                <w:sz w:val="21"/>
                <w:szCs w:val="21"/>
              </w:rPr>
              <w:t>补助标准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为农服务中心每个10万元，再生资源回收站点每个15万元。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DE448"/>
    <w:rsid w:val="FECD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2025-10-30T09:50:00Z</dcterms:created>
  <dc:creator> </dc:creator>
  <cp:lastModifiedBy> </cp:lastModifiedBy>
  <dcterms:modified xsi:type="dcterms:W3CDTF">2025-10-30T09:50:46Z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E94FF56A49E8F7AC54C40269E115AC18</vt:lpwstr>
  </property>
</Properties>
</file>