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025年市级财政衔接推进乡村振兴补助资金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绩效目标表</w:t>
      </w:r>
    </w:p>
    <w:tbl>
      <w:tblPr>
        <w:tblStyle w:val="4"/>
        <w:tblW w:w="495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098"/>
        <w:gridCol w:w="782"/>
        <w:gridCol w:w="918"/>
        <w:gridCol w:w="674"/>
        <w:gridCol w:w="625"/>
        <w:gridCol w:w="741"/>
        <w:gridCol w:w="700"/>
        <w:gridCol w:w="754"/>
        <w:gridCol w:w="723"/>
        <w:gridCol w:w="805"/>
        <w:gridCol w:w="877"/>
        <w:gridCol w:w="874"/>
        <w:gridCol w:w="1191"/>
        <w:gridCol w:w="1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县区</w:t>
            </w:r>
          </w:p>
        </w:tc>
        <w:tc>
          <w:tcPr>
            <w:tcW w:w="134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产出指标</w:t>
            </w:r>
          </w:p>
        </w:tc>
        <w:tc>
          <w:tcPr>
            <w:tcW w:w="237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效益指标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成本指标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数量指标</w:t>
            </w:r>
          </w:p>
        </w:tc>
        <w:tc>
          <w:tcPr>
            <w:tcW w:w="6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质量指标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时效指标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经济效益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指标</w:t>
            </w:r>
          </w:p>
        </w:tc>
        <w:tc>
          <w:tcPr>
            <w:tcW w:w="8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社会效益指标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生态效益指标</w:t>
            </w: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可持续影响指标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服务对象满意度指标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经济成本指标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金通工程示范创建县（个）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资金使用合规性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项目验收质量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工作完成及时性</w:t>
            </w:r>
          </w:p>
        </w:tc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促进经济发展作用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助力乡村振兴作用</w:t>
            </w:r>
          </w:p>
        </w:tc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基本公共服务水平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农村公路路况水平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路域环境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项目实施符合环评要求</w:t>
            </w:r>
          </w:p>
        </w:tc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项目适应未来一定时期内交通需求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维持路况正常衰减速度</w:t>
            </w: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服务对象满意度</w:t>
            </w:r>
          </w:p>
        </w:tc>
        <w:tc>
          <w:tcPr>
            <w:tcW w:w="4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bidi="ar"/>
              </w:rPr>
              <w:t>项目成本控制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安居区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合规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符合验收要求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及时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明显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明显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提升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提升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改善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符合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适应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延长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≥80%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大英县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合规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符合验收要求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及时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明显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明显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提升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提升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改善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符合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适应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延长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≥80%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lang w:bidi="ar"/>
              </w:rPr>
              <w:t>有效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7EA89"/>
    <w:rsid w:val="F7F7EA89"/>
    <w:rsid w:val="F9B6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2025-07-31T17:27:00Z</dcterms:created>
  <dc:creator> </dc:creator>
  <cp:lastModifiedBy> </cp:lastModifiedBy>
  <dcterms:modified xsi:type="dcterms:W3CDTF">2025-09-09T15:27:08Z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E4466A730624D8AACCD6BF6899DA9F15</vt:lpwstr>
  </property>
</Properties>
</file>