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bookmarkStart w:id="103" w:name="_GoBack"/>
    </w:p>
    <w:p>
      <w:pPr>
        <w:adjustRightInd w:val="0"/>
        <w:snapToGrid w:val="0"/>
        <w:spacing w:line="360" w:lineRule="auto"/>
        <w:jc w:val="center"/>
        <w:outlineLvl w:val="9"/>
        <w:rPr>
          <w:rFonts w:ascii="方正小标宋简体" w:hAnsi="宋体" w:eastAsia="方正小标宋简体"/>
          <w:color w:val="000000"/>
          <w:sz w:val="72"/>
          <w:szCs w:val="72"/>
        </w:rPr>
      </w:pPr>
      <w:bookmarkStart w:id="1" w:name="_Toc15396597"/>
      <w:bookmarkStart w:id="2" w:name="_Toc15377193"/>
      <w:bookmarkStart w:id="3" w:name="_Toc15377425"/>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9"/>
        <w:rPr>
          <w:rFonts w:ascii="方正小标宋简体" w:hAnsi="宋体" w:eastAsia="方正小标宋简体"/>
          <w:color w:val="000000"/>
          <w:sz w:val="72"/>
          <w:szCs w:val="72"/>
        </w:rPr>
      </w:pPr>
      <w:bookmarkStart w:id="6" w:name="_Toc15396476"/>
      <w:bookmarkStart w:id="7" w:name="_Toc15396598"/>
      <w:bookmarkStart w:id="8" w:name="_Toc15378442"/>
      <w:bookmarkStart w:id="9" w:name="_Toc15306268"/>
      <w:bookmarkStart w:id="10" w:name="_Toc15377194"/>
      <w:bookmarkStart w:id="11" w:name="_Toc15377426"/>
      <w:r>
        <w:rPr>
          <w:rFonts w:hint="eastAsia" w:ascii="方正小标宋简体" w:hAnsi="宋体" w:eastAsia="方正小标宋简体"/>
          <w:color w:val="000000"/>
          <w:sz w:val="72"/>
          <w:szCs w:val="72"/>
          <w:lang w:eastAsia="zh-CN"/>
        </w:rPr>
        <w:t>遂宁市农业农村局</w:t>
      </w:r>
      <w:r>
        <w:rPr>
          <w:rFonts w:hint="eastAsia" w:ascii="方正小标宋简体" w:hAnsi="宋体" w:eastAsia="方正小标宋简体"/>
          <w:color w:val="000000"/>
          <w:sz w:val="72"/>
          <w:szCs w:val="72"/>
        </w:rPr>
        <w:t>部门决</w:t>
      </w:r>
      <w:bookmarkEnd w:id="103"/>
      <w:r>
        <w:rPr>
          <w:rFonts w:hint="eastAsia" w:ascii="方正小标宋简体" w:hAnsi="宋体" w:eastAsia="方正小标宋简体"/>
          <w:color w:val="000000"/>
          <w:sz w:val="72"/>
          <w:szCs w:val="72"/>
        </w:rPr>
        <w:t>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0"/>
      </w:pPr>
      <w:r>
        <w:rPr>
          <w:rFonts w:hint="eastAsia"/>
        </w:rPr>
        <w:t>公开时间：2020年9月</w:t>
      </w:r>
      <w:r>
        <w:rPr>
          <w:rFonts w:hint="eastAsia"/>
          <w:lang w:val="en-US" w:eastAsia="zh-CN"/>
        </w:rPr>
        <w:t>27</w:t>
      </w:r>
      <w:r>
        <w:rPr>
          <w:rFonts w:hint="eastAsia"/>
        </w:rPr>
        <w:t>日</w:t>
      </w:r>
    </w:p>
    <w:sdt>
      <w:sdtPr>
        <w:rPr>
          <w:rFonts w:hint="eastAsia" w:ascii="仿宋" w:hAnsi="仿宋" w:eastAsia="仿宋" w:cs="仿宋"/>
          <w:kern w:val="2"/>
          <w:sz w:val="28"/>
          <w:szCs w:val="28"/>
          <w:lang w:val="en-US" w:eastAsia="zh-CN" w:bidi="ar-SA"/>
        </w:rPr>
        <w:id w:val="147477653"/>
        <w15:color w:val="DBDBDB"/>
        <w:docPartObj>
          <w:docPartGallery w:val="Table of Contents"/>
          <w:docPartUnique/>
        </w:docPartObj>
      </w:sdtPr>
      <w:sdtEndPr>
        <w:rPr>
          <w:rFonts w:hint="eastAsia" w:ascii="仿宋" w:hAnsi="仿宋" w:eastAsia="仿宋" w:cs="仿宋"/>
          <w:b/>
          <w:kern w:val="2"/>
          <w:sz w:val="28"/>
          <w:szCs w:val="28"/>
          <w:lang w:val="en-US" w:eastAsia="zh-CN" w:bidi="ar-SA"/>
        </w:rPr>
      </w:sdtEndPr>
      <w:sdtContent>
        <w:p>
          <w:pPr>
            <w:pStyle w:val="11"/>
            <w:tabs>
              <w:tab w:val="right" w:leader="dot" w:pos="8306"/>
              <w:tab w:val="clear" w:pos="8296"/>
            </w:tabs>
            <w:rPr>
              <w:rFonts w:hint="eastAsia" w:ascii="仿宋" w:hAnsi="仿宋" w:eastAsia="仿宋" w:cs="仿宋"/>
              <w:kern w:val="2"/>
              <w:sz w:val="28"/>
              <w:szCs w:val="28"/>
              <w:lang w:val="en-US" w:eastAsia="zh-CN" w:bidi="ar-SA"/>
            </w:rPr>
          </w:pPr>
          <w:bookmarkStart w:id="12" w:name="_Toc15377196"/>
          <w:bookmarkStart w:id="13" w:name="_Toc15396599"/>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"1-2" \h \u </w:instrText>
          </w:r>
          <w:r>
            <w:rPr>
              <w:rFonts w:hint="eastAsia" w:ascii="仿宋" w:hAnsi="仿宋" w:eastAsia="仿宋" w:cs="仿宋"/>
              <w:sz w:val="28"/>
              <w:szCs w:val="28"/>
            </w:rPr>
            <w:fldChar w:fldCharType="separate"/>
          </w:r>
        </w:p>
        <w:p>
          <w:pPr>
            <w:pStyle w:val="10"/>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_Toc23518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第一部分 </w:t>
          </w:r>
          <w:r>
            <w:rPr>
              <w:rFonts w:hint="eastAsia" w:ascii="仿宋" w:hAnsi="仿宋" w:eastAsia="仿宋" w:cs="仿宋"/>
              <w:bCs w:val="0"/>
              <w:sz w:val="28"/>
              <w:szCs w:val="28"/>
            </w:rPr>
            <w:t>部门概况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_Toc23518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_Toc25430 </w:instrText>
          </w:r>
          <w:r>
            <w:rPr>
              <w:rFonts w:hint="eastAsia" w:ascii="仿宋" w:hAnsi="仿宋" w:eastAsia="仿宋" w:cs="仿宋"/>
              <w:sz w:val="28"/>
              <w:szCs w:val="28"/>
            </w:rPr>
            <w:fldChar w:fldCharType="separate"/>
          </w:r>
          <w:r>
            <w:rPr>
              <w:rFonts w:hint="eastAsia" w:ascii="仿宋" w:hAnsi="仿宋" w:eastAsia="仿宋" w:cs="仿宋"/>
              <w:sz w:val="28"/>
              <w:szCs w:val="28"/>
            </w:rPr>
            <w:t>一、基</w:t>
          </w:r>
          <w:r>
            <w:rPr>
              <w:rFonts w:hint="eastAsia" w:ascii="仿宋" w:hAnsi="仿宋" w:eastAsia="仿宋" w:cs="仿宋"/>
              <w:bCs w:val="0"/>
              <w:sz w:val="28"/>
              <w:szCs w:val="28"/>
            </w:rPr>
            <w:t>本职能及主要工作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_Toc25430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_Toc5048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 xml:space="preserve">二、 </w:t>
          </w:r>
          <w:r>
            <w:rPr>
              <w:rFonts w:hint="eastAsia" w:ascii="仿宋" w:hAnsi="仿宋" w:eastAsia="仿宋" w:cs="仿宋"/>
              <w:sz w:val="28"/>
              <w:szCs w:val="28"/>
            </w:rPr>
            <w:t>机</w:t>
          </w:r>
          <w:r>
            <w:rPr>
              <w:rFonts w:hint="eastAsia" w:ascii="仿宋" w:hAnsi="仿宋" w:eastAsia="仿宋" w:cs="仿宋"/>
              <w:bCs w:val="0"/>
              <w:sz w:val="28"/>
              <w:szCs w:val="28"/>
            </w:rPr>
            <w:t>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_Toc5048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_Toc2661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第二部分 </w:t>
          </w:r>
          <w:r>
            <w:rPr>
              <w:rFonts w:hint="eastAsia" w:ascii="仿宋" w:hAnsi="仿宋" w:eastAsia="仿宋" w:cs="仿宋"/>
              <w:bCs w:val="0"/>
              <w:sz w:val="28"/>
              <w:szCs w:val="28"/>
            </w:rPr>
            <w:t>2019年度部门决算情况说明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_Toc2661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_Toc14929 </w:instrText>
          </w:r>
          <w:r>
            <w:rPr>
              <w:rFonts w:hint="eastAsia" w:ascii="仿宋" w:hAnsi="仿宋" w:eastAsia="仿宋" w:cs="仿宋"/>
              <w:sz w:val="28"/>
              <w:szCs w:val="28"/>
            </w:rPr>
            <w:fldChar w:fldCharType="separate"/>
          </w:r>
          <w:r>
            <w:rPr>
              <w:rFonts w:hint="eastAsia" w:ascii="仿宋" w:hAnsi="仿宋" w:eastAsia="仿宋" w:cs="仿宋"/>
              <w:sz w:val="28"/>
              <w:szCs w:val="28"/>
            </w:rPr>
            <w:t>一、 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_Toc14929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_Toc11362 </w:instrText>
          </w:r>
          <w:r>
            <w:rPr>
              <w:rFonts w:hint="eastAsia" w:ascii="仿宋" w:hAnsi="仿宋" w:eastAsia="仿宋" w:cs="仿宋"/>
              <w:sz w:val="28"/>
              <w:szCs w:val="28"/>
            </w:rPr>
            <w:fldChar w:fldCharType="separate"/>
          </w:r>
          <w:r>
            <w:rPr>
              <w:rFonts w:hint="eastAsia" w:ascii="仿宋" w:hAnsi="仿宋" w:eastAsia="仿宋" w:cs="仿宋"/>
              <w:sz w:val="28"/>
              <w:szCs w:val="28"/>
            </w:rPr>
            <w:t>二、 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_Toc11362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_Toc22433 </w:instrText>
          </w:r>
          <w:r>
            <w:rPr>
              <w:rFonts w:hint="eastAsia" w:ascii="仿宋" w:hAnsi="仿宋" w:eastAsia="仿宋" w:cs="仿宋"/>
              <w:sz w:val="28"/>
              <w:szCs w:val="28"/>
            </w:rPr>
            <w:fldChar w:fldCharType="separate"/>
          </w:r>
          <w:r>
            <w:rPr>
              <w:rFonts w:hint="eastAsia" w:ascii="仿宋" w:hAnsi="仿宋" w:eastAsia="仿宋" w:cs="仿宋"/>
              <w:sz w:val="28"/>
              <w:szCs w:val="28"/>
            </w:rPr>
            <w:t>三、 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_Toc22433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_Toc31937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_Toc31937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_Toc22330 </w:instrText>
          </w:r>
          <w:r>
            <w:rPr>
              <w:rFonts w:hint="eastAsia" w:ascii="仿宋" w:hAnsi="仿宋" w:eastAsia="仿宋" w:cs="仿宋"/>
              <w:sz w:val="28"/>
              <w:szCs w:val="28"/>
            </w:rP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_Toc22330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_Toc28401 </w:instrText>
          </w:r>
          <w:r>
            <w:rPr>
              <w:rFonts w:hint="eastAsia" w:ascii="仿宋" w:hAnsi="仿宋" w:eastAsia="仿宋" w:cs="仿宋"/>
              <w:sz w:val="28"/>
              <w:szCs w:val="28"/>
            </w:rP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_Toc28401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_Toc25681 </w:instrText>
          </w:r>
          <w:r>
            <w:rPr>
              <w:rFonts w:hint="eastAsia" w:ascii="仿宋" w:hAnsi="仿宋" w:eastAsia="仿宋" w:cs="仿宋"/>
              <w:sz w:val="28"/>
              <w:szCs w:val="28"/>
            </w:rPr>
            <w:fldChar w:fldCharType="separate"/>
          </w:r>
          <w:r>
            <w:rPr>
              <w:rFonts w:hint="eastAsia" w:ascii="仿宋" w:hAnsi="仿宋" w:eastAsia="仿宋" w:cs="仿宋"/>
              <w:sz w:val="28"/>
              <w:szCs w:val="28"/>
            </w:rPr>
            <w:t>七、“三公”经费财政拨款支出决算情况说明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_Toc25681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_Toc30931 </w:instrText>
          </w:r>
          <w:r>
            <w:rPr>
              <w:rFonts w:hint="eastAsia" w:ascii="仿宋" w:hAnsi="仿宋" w:eastAsia="仿宋" w:cs="仿宋"/>
              <w:sz w:val="28"/>
              <w:szCs w:val="28"/>
            </w:rP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_Toc30931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_Toc7898 </w:instrText>
          </w:r>
          <w:r>
            <w:rPr>
              <w:rFonts w:hint="eastAsia" w:ascii="仿宋" w:hAnsi="仿宋" w:eastAsia="仿宋" w:cs="仿宋"/>
              <w:sz w:val="28"/>
              <w:szCs w:val="28"/>
            </w:rPr>
            <w:fldChar w:fldCharType="separate"/>
          </w:r>
          <w:r>
            <w:rPr>
              <w:rFonts w:hint="eastAsia" w:ascii="仿宋" w:hAnsi="仿宋" w:eastAsia="仿宋" w:cs="仿宋"/>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_Toc7898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_Toc32210 </w:instrText>
          </w:r>
          <w:r>
            <w:rPr>
              <w:rFonts w:hint="eastAsia" w:ascii="仿宋" w:hAnsi="仿宋" w:eastAsia="仿宋" w:cs="仿宋"/>
              <w:sz w:val="28"/>
              <w:szCs w:val="28"/>
            </w:rPr>
            <w:fldChar w:fldCharType="separate"/>
          </w:r>
          <w:r>
            <w:rPr>
              <w:rFonts w:hint="eastAsia" w:ascii="仿宋" w:hAnsi="仿宋" w:eastAsia="仿宋" w:cs="仿宋"/>
              <w:sz w:val="28"/>
              <w:szCs w:val="28"/>
            </w:rPr>
            <w:t>十、其他重要事项的情况说明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_Toc32210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_Toc15023 </w:instrText>
          </w:r>
          <w:r>
            <w:rPr>
              <w:rFonts w:hint="eastAsia" w:ascii="仿宋" w:hAnsi="仿宋" w:eastAsia="仿宋" w:cs="仿宋"/>
              <w:sz w:val="28"/>
              <w:szCs w:val="28"/>
            </w:rPr>
            <w:fldChar w:fldCharType="separate"/>
          </w:r>
          <w:r>
            <w:rPr>
              <w:rFonts w:hint="eastAsia" w:ascii="仿宋" w:hAnsi="仿宋" w:eastAsia="仿宋" w:cs="仿宋"/>
              <w:sz w:val="28"/>
              <w:szCs w:val="28"/>
            </w:rPr>
            <w:t>第三部分 名词解释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_Toc15023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_Toc20473 </w:instrText>
          </w:r>
          <w:r>
            <w:rPr>
              <w:rFonts w:hint="eastAsia" w:ascii="仿宋" w:hAnsi="仿宋" w:eastAsia="仿宋" w:cs="仿宋"/>
              <w:sz w:val="28"/>
              <w:szCs w:val="28"/>
            </w:rPr>
            <w:fldChar w:fldCharType="separate"/>
          </w:r>
          <w:r>
            <w:rPr>
              <w:rFonts w:hint="eastAsia" w:ascii="仿宋" w:hAnsi="仿宋" w:eastAsia="仿宋" w:cs="仿宋"/>
              <w:sz w:val="28"/>
              <w:szCs w:val="28"/>
            </w:rPr>
            <w:t>第四部分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_Toc20473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_Toc24805 </w:instrText>
          </w:r>
          <w:r>
            <w:rPr>
              <w:rFonts w:hint="eastAsia" w:ascii="仿宋" w:hAnsi="仿宋" w:eastAsia="仿宋" w:cs="仿宋"/>
              <w:sz w:val="28"/>
              <w:szCs w:val="28"/>
            </w:rPr>
            <w:fldChar w:fldCharType="separate"/>
          </w:r>
          <w:r>
            <w:rPr>
              <w:rFonts w:hint="eastAsia" w:ascii="仿宋" w:hAnsi="仿宋" w:eastAsia="仿宋" w:cs="仿宋"/>
              <w:sz w:val="28"/>
              <w:szCs w:val="28"/>
            </w:rPr>
            <w:t>第五部分 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_Toc24805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_Toc24184 </w:instrText>
          </w:r>
          <w:r>
            <w:rPr>
              <w:rFonts w:hint="eastAsia" w:ascii="仿宋" w:hAnsi="仿宋" w:eastAsia="仿宋" w:cs="仿宋"/>
              <w:sz w:val="28"/>
              <w:szCs w:val="28"/>
            </w:rPr>
            <w:fldChar w:fldCharType="separate"/>
          </w:r>
          <w:r>
            <w:rPr>
              <w:rFonts w:hint="eastAsia" w:ascii="仿宋" w:hAnsi="仿宋" w:eastAsia="仿宋" w:cs="仿宋"/>
              <w:sz w:val="28"/>
              <w:szCs w:val="28"/>
            </w:rPr>
            <w:t>一、收</w:t>
          </w:r>
          <w:r>
            <w:rPr>
              <w:rFonts w:hint="eastAsia" w:ascii="仿宋" w:hAnsi="仿宋" w:eastAsia="仿宋" w:cs="仿宋"/>
              <w:bCs w:val="0"/>
              <w:sz w:val="28"/>
              <w:szCs w:val="28"/>
            </w:rPr>
            <w:t>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_Toc24184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_Toc11438 </w:instrText>
          </w:r>
          <w:r>
            <w:rPr>
              <w:rFonts w:hint="eastAsia" w:ascii="仿宋" w:hAnsi="仿宋" w:eastAsia="仿宋" w:cs="仿宋"/>
              <w:sz w:val="28"/>
              <w:szCs w:val="28"/>
            </w:rPr>
            <w:fldChar w:fldCharType="separate"/>
          </w:r>
          <w:r>
            <w:rPr>
              <w:rFonts w:hint="eastAsia" w:ascii="仿宋" w:hAnsi="仿宋" w:eastAsia="仿宋" w:cs="仿宋"/>
              <w:sz w:val="28"/>
              <w:szCs w:val="28"/>
            </w:rPr>
            <w:t>二、收</w:t>
          </w:r>
          <w:r>
            <w:rPr>
              <w:rFonts w:hint="eastAsia" w:ascii="仿宋" w:hAnsi="仿宋" w:eastAsia="仿宋" w:cs="仿宋"/>
              <w:bCs w:val="0"/>
              <w:sz w:val="28"/>
              <w:szCs w:val="28"/>
            </w:rPr>
            <w:t>入决算表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_Toc11438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_Toc9580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三、</w:t>
          </w:r>
          <w:r>
            <w:rPr>
              <w:rFonts w:hint="eastAsia" w:ascii="仿宋" w:hAnsi="仿宋" w:eastAsia="仿宋" w:cs="仿宋"/>
              <w:sz w:val="28"/>
              <w:szCs w:val="28"/>
            </w:rPr>
            <w:t>支</w:t>
          </w:r>
          <w:r>
            <w:rPr>
              <w:rFonts w:hint="eastAsia" w:ascii="仿宋" w:hAnsi="仿宋" w:eastAsia="仿宋" w:cs="仿宋"/>
              <w:bCs w:val="0"/>
              <w:sz w:val="28"/>
              <w:szCs w:val="28"/>
            </w:rPr>
            <w:t>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_Toc9580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_Toc10372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四、</w:t>
          </w:r>
          <w:r>
            <w:rPr>
              <w:rFonts w:hint="eastAsia" w:ascii="仿宋" w:hAnsi="仿宋" w:eastAsia="仿宋" w:cs="仿宋"/>
              <w:sz w:val="28"/>
              <w:szCs w:val="28"/>
            </w:rPr>
            <w:t>财</w:t>
          </w:r>
          <w:r>
            <w:rPr>
              <w:rFonts w:hint="eastAsia" w:ascii="仿宋" w:hAnsi="仿宋" w:eastAsia="仿宋" w:cs="仿宋"/>
              <w:bCs w:val="0"/>
              <w:sz w:val="28"/>
              <w:szCs w:val="28"/>
            </w:rPr>
            <w:t>政拨款收入支出决算总表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_Toc10372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_Toc20722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五、</w:t>
          </w:r>
          <w:r>
            <w:rPr>
              <w:rFonts w:hint="eastAsia" w:ascii="仿宋" w:hAnsi="仿宋" w:eastAsia="仿宋" w:cs="仿宋"/>
              <w:sz w:val="28"/>
              <w:szCs w:val="28"/>
            </w:rPr>
            <w:t>财</w:t>
          </w:r>
          <w:r>
            <w:rPr>
              <w:rFonts w:hint="eastAsia" w:ascii="仿宋" w:hAnsi="仿宋" w:eastAsia="仿宋" w:cs="仿宋"/>
              <w:bCs w:val="0"/>
              <w:sz w:val="28"/>
              <w:szCs w:val="28"/>
            </w:rPr>
            <w:t>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_Toc20722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_Toc5489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六、</w:t>
          </w:r>
          <w:r>
            <w:rPr>
              <w:rFonts w:hint="eastAsia" w:ascii="仿宋" w:hAnsi="仿宋" w:eastAsia="仿宋" w:cs="仿宋"/>
              <w:sz w:val="28"/>
              <w:szCs w:val="28"/>
            </w:rPr>
            <w:t>一</w:t>
          </w:r>
          <w:r>
            <w:rPr>
              <w:rFonts w:hint="eastAsia" w:ascii="仿宋" w:hAnsi="仿宋" w:eastAsia="仿宋" w:cs="仿宋"/>
              <w:bCs w:val="0"/>
              <w:sz w:val="28"/>
              <w:szCs w:val="28"/>
            </w:rPr>
            <w:t>般公共预算财政拨款支出决算表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_Toc5489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_Toc21965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七、</w:t>
          </w:r>
          <w:r>
            <w:rPr>
              <w:rFonts w:hint="eastAsia" w:ascii="仿宋" w:hAnsi="仿宋" w:eastAsia="仿宋" w:cs="仿宋"/>
              <w:sz w:val="28"/>
              <w:szCs w:val="28"/>
            </w:rPr>
            <w:t>一</w:t>
          </w:r>
          <w:r>
            <w:rPr>
              <w:rFonts w:hint="eastAsia" w:ascii="仿宋" w:hAnsi="仿宋" w:eastAsia="仿宋" w:cs="仿宋"/>
              <w:bCs w:val="0"/>
              <w:sz w:val="28"/>
              <w:szCs w:val="28"/>
            </w:rPr>
            <w:t>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_Toc21965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_Toc21920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八、</w:t>
          </w:r>
          <w:r>
            <w:rPr>
              <w:rFonts w:hint="eastAsia" w:ascii="仿宋" w:hAnsi="仿宋" w:eastAsia="仿宋" w:cs="仿宋"/>
              <w:sz w:val="28"/>
              <w:szCs w:val="28"/>
            </w:rPr>
            <w:t>一</w:t>
          </w:r>
          <w:r>
            <w:rPr>
              <w:rFonts w:hint="eastAsia" w:ascii="仿宋" w:hAnsi="仿宋" w:eastAsia="仿宋" w:cs="仿宋"/>
              <w:bCs w:val="0"/>
              <w:sz w:val="28"/>
              <w:szCs w:val="28"/>
            </w:rPr>
            <w:t>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_Toc21920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_Toc5150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九、</w:t>
          </w:r>
          <w:r>
            <w:rPr>
              <w:rFonts w:hint="eastAsia" w:ascii="仿宋" w:hAnsi="仿宋" w:eastAsia="仿宋" w:cs="仿宋"/>
              <w:sz w:val="28"/>
              <w:szCs w:val="28"/>
            </w:rPr>
            <w:t>一</w:t>
          </w:r>
          <w:r>
            <w:rPr>
              <w:rFonts w:hint="eastAsia" w:ascii="仿宋" w:hAnsi="仿宋" w:eastAsia="仿宋" w:cs="仿宋"/>
              <w:bCs w:val="0"/>
              <w:sz w:val="28"/>
              <w:szCs w:val="28"/>
            </w:rPr>
            <w:t>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_Toc5150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_Toc23730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w:t>
          </w:r>
          <w:r>
            <w:rPr>
              <w:rFonts w:hint="eastAsia" w:ascii="仿宋" w:hAnsi="仿宋" w:eastAsia="仿宋" w:cs="仿宋"/>
              <w:sz w:val="28"/>
              <w:szCs w:val="28"/>
            </w:rPr>
            <w:t>一</w:t>
          </w:r>
          <w:r>
            <w:rPr>
              <w:rFonts w:hint="eastAsia" w:ascii="仿宋" w:hAnsi="仿宋" w:eastAsia="仿宋" w:cs="仿宋"/>
              <w:bCs w:val="0"/>
              <w:sz w:val="28"/>
              <w:szCs w:val="28"/>
            </w:rPr>
            <w:t>般公共预算财政拨款“三公”经费支出决算表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_Toc23730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_Toc32001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十一、</w:t>
          </w:r>
          <w:r>
            <w:rPr>
              <w:rFonts w:hint="eastAsia" w:ascii="仿宋" w:hAnsi="仿宋" w:eastAsia="仿宋" w:cs="仿宋"/>
              <w:sz w:val="28"/>
              <w:szCs w:val="28"/>
            </w:rPr>
            <w:t>政</w:t>
          </w:r>
          <w:r>
            <w:rPr>
              <w:rFonts w:hint="eastAsia" w:ascii="仿宋" w:hAnsi="仿宋" w:eastAsia="仿宋" w:cs="仿宋"/>
              <w:bCs w:val="0"/>
              <w:sz w:val="28"/>
              <w:szCs w:val="28"/>
            </w:rPr>
            <w:t>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_Toc32001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_Toc23390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十二、</w:t>
          </w:r>
          <w:r>
            <w:rPr>
              <w:rFonts w:hint="eastAsia" w:ascii="仿宋" w:hAnsi="仿宋" w:eastAsia="仿宋" w:cs="仿宋"/>
              <w:sz w:val="28"/>
              <w:szCs w:val="28"/>
            </w:rPr>
            <w:t>政</w:t>
          </w:r>
          <w:r>
            <w:rPr>
              <w:rFonts w:hint="eastAsia" w:ascii="仿宋" w:hAnsi="仿宋" w:eastAsia="仿宋" w:cs="仿宋"/>
              <w:bCs w:val="0"/>
              <w:sz w:val="28"/>
              <w:szCs w:val="28"/>
            </w:rPr>
            <w:t>府性基金预算财政拨款“三公”经费支出决算表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_Toc23390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306"/>
              <w:tab w:val="clear" w:pos="829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_Toc14873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十三、</w:t>
          </w:r>
          <w:r>
            <w:rPr>
              <w:rFonts w:hint="eastAsia" w:ascii="仿宋" w:hAnsi="仿宋" w:eastAsia="仿宋" w:cs="仿宋"/>
              <w:sz w:val="28"/>
              <w:szCs w:val="28"/>
            </w:rPr>
            <w:t>国</w:t>
          </w:r>
          <w:r>
            <w:rPr>
              <w:rFonts w:hint="eastAsia" w:ascii="仿宋" w:hAnsi="仿宋" w:eastAsia="仿宋" w:cs="仿宋"/>
              <w:bCs w:val="0"/>
              <w:sz w:val="28"/>
              <w:szCs w:val="28"/>
            </w:rPr>
            <w:t>有资本经营预算支出决算表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_Toc14873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 w:val="clear" w:pos="8296"/>
            </w:tabs>
          </w:pPr>
          <w:r>
            <w:rPr>
              <w:rFonts w:hint="eastAsia" w:ascii="仿宋" w:hAnsi="仿宋" w:eastAsia="仿宋" w:cs="仿宋"/>
              <w:sz w:val="28"/>
              <w:szCs w:val="28"/>
            </w:rP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Style w:val="24"/>
          <w:rFonts w:ascii="黑体" w:hAnsi="黑体" w:eastAsia="黑体"/>
          <w:b/>
          <w:bCs w:val="0"/>
        </w:rPr>
      </w:pPr>
      <w:bookmarkStart w:id="14" w:name="_Toc23518"/>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bookmarkEnd w:id="14"/>
    </w:p>
    <w:p>
      <w:pPr>
        <w:widowControl/>
        <w:jc w:val="left"/>
        <w:rPr>
          <w:rFonts w:ascii="黑体" w:eastAsia="黑体"/>
          <w:color w:val="000000"/>
          <w:sz w:val="32"/>
          <w:szCs w:val="32"/>
        </w:rPr>
      </w:pPr>
    </w:p>
    <w:p>
      <w:pPr>
        <w:pStyle w:val="3"/>
        <w:rPr>
          <w:rStyle w:val="25"/>
          <w:rFonts w:ascii="仿宋" w:hAnsi="仿宋" w:eastAsia="仿宋"/>
          <w:b w:val="0"/>
          <w:bCs w:val="0"/>
        </w:rPr>
      </w:pPr>
      <w:bookmarkStart w:id="15" w:name="_Toc15396600"/>
      <w:bookmarkStart w:id="16" w:name="_Toc25430"/>
      <w:bookmarkStart w:id="17"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5"/>
      <w:bookmarkEnd w:id="16"/>
      <w:bookmarkEnd w:id="17"/>
    </w:p>
    <w:p>
      <w:pPr>
        <w:overflowPunct w:val="0"/>
        <w:spacing w:line="600" w:lineRule="exact"/>
        <w:ind w:firstLine="640" w:firstLineChars="200"/>
        <w:rPr>
          <w:rFonts w:hint="eastAsia" w:ascii="仿宋" w:hAnsi="仿宋" w:eastAsia="仿宋"/>
          <w:bCs/>
          <w:color w:val="000000"/>
          <w:sz w:val="32"/>
          <w:szCs w:val="32"/>
        </w:rPr>
      </w:pPr>
      <w:bookmarkStart w:id="18" w:name="_Toc15377198"/>
      <w:bookmarkStart w:id="19" w:name="_Toc15378445"/>
      <w:r>
        <w:rPr>
          <w:rFonts w:hint="eastAsia" w:ascii="仿宋" w:hAnsi="仿宋" w:eastAsia="仿宋"/>
          <w:bCs/>
          <w:color w:val="000000"/>
          <w:sz w:val="32"/>
          <w:szCs w:val="32"/>
        </w:rPr>
        <w:t>（一）主要职能。</w:t>
      </w:r>
      <w:bookmarkEnd w:id="18"/>
      <w:bookmarkEnd w:id="19"/>
      <w:bookmarkStart w:id="20" w:name="_Toc15378446"/>
      <w:bookmarkStart w:id="21" w:name="_Toc15377199"/>
      <w:r>
        <w:rPr>
          <w:rFonts w:hint="eastAsia" w:ascii="仿宋" w:hAnsi="仿宋" w:eastAsia="仿宋"/>
          <w:bCs/>
          <w:color w:val="000000"/>
          <w:sz w:val="32"/>
          <w:szCs w:val="32"/>
        </w:rPr>
        <w:t>1、统筹研究和组织实施全市“三农”工作的发展战略、中长期规划、政策措施。贯彻执行国家有关种植业、养殖业、农业机械化等农业领域工作的法律、法规、政策以及市委、市政府关于“三农”方面的决策部署。参与涉农相关政策制定。</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2、统筹实施乡村振兴战略，牵头组织改善全市农村人居环境。统筹推动发展农村社会事业、农村公共服务、农村文化、农村基础设施和乡村治理。指导农业遗产的保护传承和开发利用。指导农村精神文明和优秀农耕文化建设。</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3、拟订深化全市农村经济体制改革和巩固完善农村基本经营制度的政策措施。指导农民承包地、农村宅基地管理和改革有关工作。负责农村集体产权制度改革，指导农村集体经济组织发展、集体资产和财务管理工作。拟订全市农业产业化经营的发展规划与政策并组织实施，指导农民合作经济组织、农业社会化服务体系、新型农业经营主体建设与发展。指导、监督减轻农民负担工作。</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4、指导全市乡村特色产业、农产品加工业（产地初加工）、休闲农业和乡村企业发展工作。指导特色农产品优势区建设和管理工作。组织拟订并实施现代农业园区的政策与规划，负责现代农业园区评定或推荐工作。提出促进大宗农产品流通政策和主要农产品进口建议，研究拟订大宗农产品市场体系建设与发展规划。培育、保护和发展农产品品牌，组织协调“菜篮子”工程有关工作。负责农业信息体系建设，推动数字农业发展。发布农业农村经济信息，监测分析农业农村经济运行。承担农业统计工作。</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5、负责全市种植业、养殖业、农业机械化等农业各产业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6、负责拟订全市农业全产业机械化、智能化、数字化发展规划并组织实施。组织开展农业机械新技术、新机具的引进、示范和推广工作。指导全市农业机械基础设施的规划建设和管理工作。指导设施农业、农机库棚、机电提灌、机耕道等基础设施建设。</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7、负责全市农产品质量安全监督管理。组织开展农产品质量安全监测、追溯、风险评估。发布有关农产品质量安全状况信息，提出技术性贸易措施建议。指导农业检验检测体系建设。依法组织实施符合安全标准的农产品生产基地认定、产品认证、农产品地理标志登记保护和监督管理。</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8、组织开展全市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农业生物质产业发展。</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9、负责全市有关农业生产资料和农业投入品的监督管理。组织农业生产资料市场体系建设，承担农作物种子（种苗）、食用菌种、蚕种、饲草良种、种畜禽、水产苗种、农药、兽药（渔药）、饲料、饲料添加剂等农业生产资料的监督管理职责，牵头负责“瘦肉精”监督管理工作。监督管理兽医医疗器械、肥料。会同有关部门监督实施农业生产资料国家标准。组织兽医医政、兽药（渔药）药政药检、饲料饲政饲检工作，负责执业兽医和畜禽屠宰行业管理。</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10、负责全市农业防灾减灾、动植物重大病虫害防治工作。会同有关部门拟订动植物防疫检疫政策并指导实施。指导动植物防疫检疫体系建设，组织监督管理市内动植物防疫检疫工作，发布疫情并组织扑灭。组织植物检疫性有害生物普查。牵头管理外来农业物种。监测、核查、发布农业灾情，组织种子、种苗、化肥、兽药（渔药）等农业生产救灾物资的储备和调拨，提出生产救灾资金安排建议，指导紧急救灾和灾后生产恢复。</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11、负责全市农业投资管理。提出农业投融资体制机制改革建议。编制中央和省级、市级投资安排的农业投资项目建设规划，提出农业投资规模和方向、扶持农业农村发展财政项目的建议，按权限审批农业投资项目，负责农业投资项目资金安排和监督管理。</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12、负责全市农田建设管理。拟订农田建设发展规划，提出农田建设项目需求建议。负责全市农田建设管理、高标准农田建设和耕地质量管理。编制农业综合开发涉及农田建设项目、农田整治项目、农田水利建设项目的计划，并组织实施和管理。</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13、拟订全市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组织协调农业转基因生物安全监督管理和农业植物新品种保护。</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14、指导全市农业农村人才工作。拟订农业农村人才队伍建设规划并组织实施，指导农业教育和农业职业技能开发，指导新型职业农民培育、农业科技人才培养和农村实用人才培训工作。</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15、牵头开展全市农业对外合作工作。承办政府间农业涉外事务，参与拟订农业对外开放政策和外向型农业发展规划，指导外向型农业发展。组织开展农业贸易促进和有关国际交流合作，落实对外援助政策，具体执行有关农业援外项目。组织开展农业投资促进活动，推动农业开放合作。</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16、统筹协调和监督指导全市农业综合执法。负责由市本级办理的涉农违法案件调查处理，监督指导重大案件查处和跨区域执法的组织协调工作。推进农业依法行政。</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17、负责职责范围内的安全生产和职业健康、生态环境保护、审批服务便民化等工作。负责农业安全生产和职业健康监督管理工作。负责农业机械、农（兽）药、饲料、渔业、畜禽屠宰行业安全生产和职业健康监督管理。负责组织实施农村沼气项目的安全生产和职业健康监督管理。对农业园区的安全生产和职业健康工作实施行业监督管理。负责制定职责范围内的安全生产年度监督检查计划并组织实施。</w:t>
      </w:r>
    </w:p>
    <w:p>
      <w:pPr>
        <w:overflowPunct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18、完成市委和市政府交办的其他任务。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20"/>
      <w:bookmarkEnd w:id="21"/>
    </w:p>
    <w:p>
      <w:pPr>
        <w:spacing w:line="590" w:lineRule="exact"/>
        <w:ind w:firstLine="640" w:firstLineChars="200"/>
        <w:rPr>
          <w:rFonts w:hint="eastAsia" w:ascii="仿宋" w:hAnsi="仿宋" w:eastAsia="仿宋"/>
          <w:bCs/>
          <w:color w:val="000000"/>
          <w:sz w:val="32"/>
          <w:szCs w:val="32"/>
        </w:rPr>
      </w:pPr>
      <w:r>
        <w:rPr>
          <w:rFonts w:eastAsia="仿宋_GB2312"/>
          <w:sz w:val="32"/>
          <w:szCs w:val="32"/>
        </w:rPr>
        <w:t>2019年，我市农业农村系统认真贯彻落实中央和省委、市委农村工作会议精神，以实施乡村振兴战略为总抓手，深入推进农业供给侧结构性改革，全市农业农村经济在上年高基数、高起点基础上，继续保持了稳中有进、健康发展势头。农业面源污染治理、乡村产业振兴、党的建设、干部队伍建设、统战工作、科技人才、建议提案办理等工作在全市性会议上交流发言；农村综合改革、承包</w:t>
      </w:r>
      <w:r>
        <w:rPr>
          <w:rFonts w:hint="eastAsia" w:ascii="仿宋_GB2312" w:eastAsia="仿宋_GB2312"/>
          <w:sz w:val="32"/>
          <w:szCs w:val="32"/>
        </w:rPr>
        <w:t>地“三权分置”、农产品品牌建设、春耕生产暨高标准农田建设、农业“两区”划定、农机化建设、农村“厕所革命”、生猪稳产保供等工作走在全省前列，并在全省性会议上交流发言；全国甘薯绿色高效生产技术培训会，全省兔业发展大会、渔业统计工作会、生猪疫情会商会、畜禽屠宰监管培训会等相继在我市召开、“遂宁经验”得到广泛推广。创新探索农村人居环境整治“六个一”推进机制得到斯丹副省长充</w:t>
      </w:r>
      <w:r>
        <w:rPr>
          <w:rFonts w:eastAsia="仿宋_GB2312"/>
          <w:sz w:val="32"/>
          <w:szCs w:val="32"/>
        </w:rPr>
        <w:t>分肯定，精心组织第七届农博会遂宁主题市系列活动，落实粮食安全省长责任制、农业生产社会化服务、农村经营管理等30多项工作获省、市通报表扬。</w:t>
      </w:r>
    </w:p>
    <w:p>
      <w:pPr>
        <w:pStyle w:val="3"/>
        <w:numPr>
          <w:ilvl w:val="0"/>
          <w:numId w:val="1"/>
        </w:numPr>
        <w:rPr>
          <w:rStyle w:val="25"/>
          <w:rFonts w:hint="eastAsia" w:ascii="黑体" w:hAnsi="黑体" w:eastAsia="黑体"/>
          <w:b w:val="0"/>
          <w:bCs w:val="0"/>
        </w:rPr>
      </w:pPr>
      <w:bookmarkStart w:id="22" w:name="_Toc15396601"/>
      <w:bookmarkStart w:id="23" w:name="_Toc5048"/>
      <w:bookmarkStart w:id="24" w:name="_Toc15377200"/>
      <w:r>
        <w:rPr>
          <w:rFonts w:hint="eastAsia" w:ascii="黑体" w:hAnsi="黑体" w:eastAsia="黑体"/>
          <w:b w:val="0"/>
          <w:color w:val="000000"/>
        </w:rPr>
        <w:t>机</w:t>
      </w:r>
      <w:r>
        <w:rPr>
          <w:rStyle w:val="25"/>
          <w:rFonts w:hint="eastAsia" w:ascii="黑体" w:hAnsi="黑体" w:eastAsia="黑体"/>
          <w:b w:val="0"/>
          <w:bCs w:val="0"/>
        </w:rPr>
        <w:t>构设置</w:t>
      </w:r>
      <w:bookmarkEnd w:id="22"/>
      <w:bookmarkEnd w:id="23"/>
      <w:bookmarkEnd w:id="24"/>
    </w:p>
    <w:p>
      <w:pPr>
        <w:spacing w:line="590" w:lineRule="exact"/>
        <w:ind w:firstLine="640" w:firstLineChars="200"/>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市农业农村局下属二级预算单位4个，其中行政单位1个，参照公务员法管理的事业单位1个，其他事业单位2个。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遂宁市农业农村局</w:t>
      </w:r>
      <w:r>
        <w:rPr>
          <w:rFonts w:hint="eastAsia" w:ascii="仿宋" w:hAnsi="仿宋" w:eastAsia="仿宋"/>
          <w:color w:val="000000"/>
          <w:sz w:val="32"/>
          <w:szCs w:val="32"/>
        </w:rPr>
        <w:t>2019年度部门决算编制范围的二级预算单位包括：</w:t>
      </w:r>
    </w:p>
    <w:p>
      <w:pPr>
        <w:pStyle w:val="5"/>
        <w:numPr>
          <w:ilvl w:val="0"/>
          <w:numId w:val="2"/>
        </w:numPr>
        <w:adjustRightInd w:val="0"/>
        <w:snapToGrid w:val="0"/>
        <w:spacing w:before="93" w:line="600" w:lineRule="exact"/>
        <w:outlineLvl w:val="2"/>
        <w:rPr>
          <w:rFonts w:ascii="仿宋" w:hAnsi="仿宋" w:eastAsia="仿宋"/>
          <w:color w:val="000000"/>
          <w:sz w:val="32"/>
          <w:szCs w:val="32"/>
        </w:rPr>
      </w:pPr>
      <w:r>
        <w:rPr>
          <w:color w:val="000000"/>
          <w:szCs w:val="32"/>
        </w:rPr>
        <w:t>遂宁市农产品安全检测中心</w:t>
      </w:r>
    </w:p>
    <w:p>
      <w:pPr>
        <w:pStyle w:val="5"/>
        <w:numPr>
          <w:ilvl w:val="0"/>
          <w:numId w:val="2"/>
        </w:numPr>
        <w:adjustRightInd w:val="0"/>
        <w:snapToGrid w:val="0"/>
        <w:spacing w:before="93" w:line="600" w:lineRule="exact"/>
        <w:outlineLvl w:val="2"/>
        <w:rPr>
          <w:rFonts w:ascii="仿宋" w:hAnsi="仿宋" w:eastAsia="仿宋"/>
          <w:color w:val="000000"/>
          <w:sz w:val="32"/>
          <w:szCs w:val="32"/>
        </w:rPr>
      </w:pPr>
      <w:r>
        <w:rPr>
          <w:color w:val="000000"/>
          <w:szCs w:val="32"/>
        </w:rPr>
        <w:t>遂宁市农产品质量安全中心</w:t>
      </w:r>
    </w:p>
    <w:p>
      <w:pPr>
        <w:pStyle w:val="5"/>
        <w:numPr>
          <w:ilvl w:val="0"/>
          <w:numId w:val="2"/>
        </w:numPr>
        <w:adjustRightInd w:val="0"/>
        <w:snapToGrid w:val="0"/>
        <w:spacing w:before="93" w:line="600" w:lineRule="exact"/>
        <w:outlineLvl w:val="2"/>
        <w:rPr>
          <w:rFonts w:ascii="仿宋" w:hAnsi="仿宋" w:eastAsia="仿宋"/>
          <w:color w:val="000000"/>
          <w:sz w:val="32"/>
          <w:szCs w:val="32"/>
        </w:rPr>
      </w:pPr>
      <w:r>
        <w:rPr>
          <w:color w:val="000000"/>
          <w:szCs w:val="32"/>
        </w:rPr>
        <w:t>遂宁市农村能源办公室</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5" w:name="_Toc15396602"/>
      <w:bookmarkStart w:id="26" w:name="_Toc2661"/>
      <w:bookmarkStart w:id="27"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5"/>
      <w:bookmarkEnd w:id="26"/>
      <w:bookmarkEnd w:id="27"/>
    </w:p>
    <w:p/>
    <w:p>
      <w:pPr>
        <w:pStyle w:val="23"/>
        <w:numPr>
          <w:ilvl w:val="0"/>
          <w:numId w:val="3"/>
        </w:numPr>
        <w:spacing w:line="600" w:lineRule="exact"/>
        <w:ind w:firstLineChars="0"/>
        <w:outlineLvl w:val="1"/>
        <w:rPr>
          <w:rStyle w:val="25"/>
          <w:rFonts w:ascii="黑体" w:hAnsi="黑体" w:eastAsia="黑体"/>
          <w:b w:val="0"/>
        </w:rPr>
      </w:pPr>
      <w:bookmarkStart w:id="28" w:name="_Toc15396603"/>
      <w:bookmarkStart w:id="29" w:name="_Toc15377205"/>
      <w:bookmarkStart w:id="30" w:name="_Toc14929"/>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8"/>
      <w:bookmarkEnd w:id="29"/>
      <w:bookmarkEnd w:id="30"/>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2019年度收、支总计10708.62万元。与2018年</w:t>
      </w:r>
      <w:r>
        <w:rPr>
          <w:rFonts w:hint="eastAsia" w:ascii="仿宋_GB2312" w:hAnsi="仿宋_GB2312" w:eastAsia="仿宋_GB2312" w:cs="仿宋_GB2312"/>
          <w:color w:val="000000" w:themeColor="text1"/>
          <w:sz w:val="32"/>
          <w:szCs w:val="32"/>
          <w14:textFill>
            <w14:solidFill>
              <w14:schemeClr w14:val="tx1"/>
            </w14:solidFill>
          </w14:textFill>
        </w:rPr>
        <w:t>6180.04</w:t>
      </w:r>
      <w:r>
        <w:rPr>
          <w:rFonts w:hint="eastAsia" w:ascii="仿宋" w:hAnsi="仿宋" w:eastAsia="仿宋"/>
          <w:color w:val="000000"/>
          <w:sz w:val="32"/>
          <w:szCs w:val="32"/>
        </w:rPr>
        <w:t>相比，收、支总计各增加</w:t>
      </w:r>
      <w:r>
        <w:rPr>
          <w:rFonts w:hint="eastAsia" w:ascii="仿宋" w:hAnsi="仿宋" w:eastAsia="仿宋"/>
          <w:color w:val="000000"/>
          <w:sz w:val="32"/>
          <w:szCs w:val="32"/>
          <w:lang w:val="en-US" w:eastAsia="zh-CN"/>
        </w:rPr>
        <w:t>4528.58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73.28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1、农办合并，人员增加。2、新增风险补偿金。</w:t>
      </w:r>
    </w:p>
    <w:p>
      <w:pPr>
        <w:spacing w:line="600" w:lineRule="exact"/>
        <w:ind w:firstLine="420" w:firstLineChars="200"/>
        <w:jc w:val="left"/>
      </w:pPr>
    </w:p>
    <w:p>
      <w:pPr>
        <w:spacing w:line="240" w:lineRule="auto"/>
        <w:ind w:firstLine="420" w:firstLineChars="200"/>
        <w:jc w:val="left"/>
        <w:rPr>
          <w:rFonts w:ascii="仿宋_GB2312" w:eastAsia="仿宋_GB2312"/>
          <w:color w:val="000000"/>
          <w:sz w:val="32"/>
          <w:szCs w:val="32"/>
        </w:rPr>
      </w:pPr>
      <w:r>
        <w:rPr>
          <w:rFonts w:hint="eastAsia" w:eastAsia="宋体"/>
          <w:lang w:eastAsia="zh-CN"/>
        </w:rPr>
        <w:drawing>
          <wp:inline distT="0" distB="0" distL="114300" distR="114300">
            <wp:extent cx="4584065" cy="2755265"/>
            <wp:effectExtent l="0" t="0" r="6985" b="6985"/>
            <wp:docPr id="1" name="图片 1"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true"/>
                    </pic:cNvPicPr>
                  </pic:nvPicPr>
                  <pic:blipFill>
                    <a:blip r:embed="rId6"/>
                    <a:stretch>
                      <a:fillRect/>
                    </a:stretch>
                  </pic:blipFill>
                  <pic:spPr>
                    <a:xfrm>
                      <a:off x="0" y="0"/>
                      <a:ext cx="4584065" cy="2755265"/>
                    </a:xfrm>
                    <a:prstGeom prst="rect">
                      <a:avLst/>
                    </a:prstGeom>
                  </pic:spPr>
                </pic:pic>
              </a:graphicData>
            </a:graphic>
          </wp:inline>
        </w:drawing>
      </w:r>
    </w:p>
    <w:p>
      <w:pPr>
        <w:pStyle w:val="23"/>
        <w:numPr>
          <w:ilvl w:val="0"/>
          <w:numId w:val="3"/>
        </w:numPr>
        <w:spacing w:line="600" w:lineRule="exact"/>
        <w:ind w:firstLineChars="0"/>
        <w:outlineLvl w:val="1"/>
        <w:rPr>
          <w:rStyle w:val="25"/>
          <w:rFonts w:ascii="黑体" w:hAnsi="黑体" w:eastAsia="黑体"/>
          <w:b w:val="0"/>
        </w:rPr>
      </w:pPr>
      <w:bookmarkStart w:id="31" w:name="_Toc15377206"/>
      <w:bookmarkStart w:id="32" w:name="_Toc11362"/>
      <w:bookmarkStart w:id="33"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31"/>
      <w:bookmarkEnd w:id="32"/>
      <w:bookmarkEnd w:id="33"/>
    </w:p>
    <w:p>
      <w:pPr>
        <w:spacing w:line="600" w:lineRule="exact"/>
        <w:ind w:firstLine="640" w:firstLineChars="200"/>
        <w:outlineLvl w:val="9"/>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10188.29</w:t>
      </w:r>
      <w:r>
        <w:rPr>
          <w:rFonts w:hint="eastAsia" w:ascii="仿宋" w:hAnsi="仿宋" w:eastAsia="仿宋"/>
          <w:color w:val="000000"/>
          <w:sz w:val="32"/>
          <w:szCs w:val="32"/>
        </w:rPr>
        <w:t>万元，其中：一般公共预算财政拨款收入9267.79万元，占</w:t>
      </w:r>
      <w:r>
        <w:rPr>
          <w:rFonts w:hint="eastAsia" w:ascii="仿宋" w:hAnsi="仿宋" w:eastAsia="仿宋"/>
          <w:color w:val="000000"/>
          <w:sz w:val="32"/>
          <w:szCs w:val="32"/>
          <w:lang w:val="en-US" w:eastAsia="zh-CN"/>
        </w:rPr>
        <w:t>90.96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；政府性基金预算财政拨款收入910万元，占</w:t>
      </w:r>
      <w:r>
        <w:rPr>
          <w:rFonts w:hint="eastAsia" w:ascii="仿宋" w:hAnsi="仿宋" w:eastAsia="仿宋"/>
          <w:color w:val="000000"/>
          <w:sz w:val="32"/>
          <w:szCs w:val="32"/>
          <w:lang w:val="en-US" w:eastAsia="zh-CN"/>
        </w:rPr>
        <w:t>8.9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；其他收入10.5万元，占</w:t>
      </w:r>
      <w:r>
        <w:rPr>
          <w:rFonts w:hint="eastAsia" w:ascii="仿宋" w:hAnsi="仿宋" w:eastAsia="仿宋"/>
          <w:color w:val="000000"/>
          <w:sz w:val="32"/>
          <w:szCs w:val="32"/>
          <w:lang w:val="en-US" w:eastAsia="zh-CN"/>
        </w:rPr>
        <w:t>0.14</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9"/>
        <w:rPr>
          <w:rFonts w:ascii="仿宋" w:hAnsi="仿宋" w:eastAsia="仿宋"/>
          <w:color w:val="000000"/>
          <w:sz w:val="32"/>
          <w:szCs w:val="32"/>
        </w:rPr>
      </w:pPr>
    </w:p>
    <w:p>
      <w:pPr>
        <w:spacing w:line="240" w:lineRule="auto"/>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5273040" cy="2331720"/>
            <wp:effectExtent l="0" t="0" r="3810" b="0"/>
            <wp:docPr id="2" name="图片 2"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true"/>
                    </pic:cNvPicPr>
                  </pic:nvPicPr>
                  <pic:blipFill>
                    <a:blip r:embed="rId7"/>
                    <a:stretch>
                      <a:fillRect/>
                    </a:stretch>
                  </pic:blipFill>
                  <pic:spPr>
                    <a:xfrm>
                      <a:off x="0" y="0"/>
                      <a:ext cx="5273040" cy="2331720"/>
                    </a:xfrm>
                    <a:prstGeom prst="rect">
                      <a:avLst/>
                    </a:prstGeom>
                  </pic:spPr>
                </pic:pic>
              </a:graphicData>
            </a:graphic>
          </wp:inline>
        </w:drawing>
      </w:r>
    </w:p>
    <w:p>
      <w:pPr>
        <w:pStyle w:val="23"/>
        <w:numPr>
          <w:ilvl w:val="0"/>
          <w:numId w:val="3"/>
        </w:numPr>
        <w:spacing w:line="600" w:lineRule="exact"/>
        <w:ind w:firstLineChars="0"/>
        <w:outlineLvl w:val="1"/>
        <w:rPr>
          <w:rStyle w:val="25"/>
          <w:rFonts w:ascii="黑体" w:hAnsi="黑体" w:eastAsia="黑体"/>
          <w:b w:val="0"/>
        </w:rPr>
      </w:pPr>
      <w:bookmarkStart w:id="34" w:name="_Toc15377207"/>
      <w:bookmarkStart w:id="35" w:name="_Toc15396605"/>
      <w:bookmarkStart w:id="36" w:name="_Toc22433"/>
      <w:r>
        <w:rPr>
          <w:rFonts w:hint="eastAsia" w:ascii="黑体" w:hAnsi="黑体" w:eastAsia="黑体"/>
          <w:color w:val="000000"/>
          <w:sz w:val="32"/>
          <w:szCs w:val="32"/>
        </w:rPr>
        <w:t>支</w:t>
      </w:r>
      <w:r>
        <w:rPr>
          <w:rStyle w:val="25"/>
          <w:rFonts w:hint="eastAsia" w:ascii="黑体" w:hAnsi="黑体" w:eastAsia="黑体"/>
          <w:b w:val="0"/>
        </w:rPr>
        <w:t>出决算情况说明</w:t>
      </w:r>
      <w:bookmarkEnd w:id="34"/>
      <w:bookmarkEnd w:id="35"/>
      <w:bookmarkEnd w:id="36"/>
    </w:p>
    <w:p>
      <w:pPr>
        <w:spacing w:line="600" w:lineRule="exact"/>
        <w:ind w:firstLine="640" w:firstLineChars="200"/>
        <w:outlineLvl w:val="9"/>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9年本年支出合计8852.</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万元，其中：基本支出2835.</w:t>
      </w:r>
      <w:r>
        <w:rPr>
          <w:rFonts w:hint="eastAsia" w:ascii="仿宋" w:hAnsi="仿宋" w:eastAsia="仿宋"/>
          <w:color w:val="000000"/>
          <w:sz w:val="32"/>
          <w:szCs w:val="32"/>
          <w:lang w:val="en-US" w:eastAsia="zh-CN"/>
        </w:rPr>
        <w:t>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32.03</w:t>
      </w:r>
      <w:r>
        <w:rPr>
          <w:rFonts w:ascii="仿宋" w:hAnsi="仿宋" w:eastAsia="仿宋"/>
          <w:color w:val="000000"/>
          <w:sz w:val="32"/>
          <w:szCs w:val="32"/>
        </w:rPr>
        <w:t>%</w:t>
      </w:r>
      <w:r>
        <w:rPr>
          <w:rFonts w:hint="eastAsia" w:ascii="仿宋" w:hAnsi="仿宋" w:eastAsia="仿宋"/>
          <w:color w:val="000000"/>
          <w:sz w:val="32"/>
          <w:szCs w:val="32"/>
        </w:rPr>
        <w:t>；项目支出6016.77万元，占</w:t>
      </w:r>
      <w:r>
        <w:rPr>
          <w:rFonts w:hint="eastAsia" w:ascii="仿宋" w:hAnsi="仿宋" w:eastAsia="仿宋"/>
          <w:color w:val="000000"/>
          <w:sz w:val="32"/>
          <w:szCs w:val="32"/>
          <w:lang w:val="en-US" w:eastAsia="zh-CN"/>
        </w:rPr>
        <w:t>67.97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578350" cy="2828290"/>
            <wp:effectExtent l="0" t="0" r="12700" b="0"/>
            <wp:docPr id="3" name="图片 3"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true"/>
                    </pic:cNvPicPr>
                  </pic:nvPicPr>
                  <pic:blipFill>
                    <a:blip r:embed="rId8"/>
                    <a:stretch>
                      <a:fillRect/>
                    </a:stretch>
                  </pic:blipFill>
                  <pic:spPr>
                    <a:xfrm>
                      <a:off x="0" y="0"/>
                      <a:ext cx="4578350" cy="2828290"/>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7" w:name="_Toc31937"/>
      <w:bookmarkStart w:id="38" w:name="_Toc15377208"/>
      <w:bookmarkStart w:id="39"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7"/>
      <w:bookmarkEnd w:id="38"/>
      <w:bookmarkEnd w:id="39"/>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10656.14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w:t>
      </w:r>
      <w:r>
        <w:rPr>
          <w:rFonts w:hint="eastAsia" w:ascii="仿宋" w:hAnsi="仿宋" w:eastAsia="仿宋"/>
          <w:color w:val="000000"/>
          <w:sz w:val="32"/>
          <w:szCs w:val="32"/>
          <w:lang w:val="en-US" w:eastAsia="zh-CN"/>
        </w:rPr>
        <w:t>5371.16万元</w:t>
      </w:r>
      <w:r>
        <w:rPr>
          <w:rFonts w:hint="eastAsia" w:ascii="仿宋" w:hAnsi="仿宋" w:eastAsia="仿宋"/>
          <w:color w:val="000000"/>
          <w:sz w:val="32"/>
          <w:szCs w:val="32"/>
        </w:rPr>
        <w:t>相比，财政拨款收、支总计各增加</w:t>
      </w:r>
      <w:r>
        <w:rPr>
          <w:rFonts w:hint="eastAsia" w:ascii="仿宋" w:hAnsi="仿宋" w:eastAsia="仿宋"/>
          <w:color w:val="000000"/>
          <w:sz w:val="32"/>
          <w:szCs w:val="32"/>
          <w:lang w:val="en-US" w:eastAsia="zh-CN"/>
        </w:rPr>
        <w:t>5284.98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98.39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农办合并，增人增资。</w:t>
      </w:r>
    </w:p>
    <w:p>
      <w:pPr>
        <w:spacing w:line="240" w:lineRule="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755265"/>
            <wp:effectExtent l="0" t="0" r="6985" b="6985"/>
            <wp:docPr id="4" name="图片 4"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true"/>
                    </pic:cNvPicPr>
                  </pic:nvPicPr>
                  <pic:blipFill>
                    <a:blip r:embed="rId9"/>
                    <a:stretch>
                      <a:fillRect/>
                    </a:stretch>
                  </pic:blipFill>
                  <pic:spPr>
                    <a:xfrm>
                      <a:off x="0" y="0"/>
                      <a:ext cx="4584065" cy="2755265"/>
                    </a:xfrm>
                    <a:prstGeom prst="rect">
                      <a:avLst/>
                    </a:prstGeom>
                  </pic:spPr>
                </pic:pic>
              </a:graphicData>
            </a:graphic>
          </wp:inline>
        </w:drawing>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40" w:name="_Toc22330"/>
      <w:bookmarkStart w:id="41" w:name="_Toc15377209"/>
      <w:bookmarkStart w:id="42"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40"/>
      <w:bookmarkEnd w:id="41"/>
      <w:bookmarkEnd w:id="42"/>
    </w:p>
    <w:p>
      <w:pPr>
        <w:spacing w:line="600" w:lineRule="exact"/>
        <w:ind w:firstLine="642" w:firstLineChars="200"/>
        <w:outlineLvl w:val="2"/>
        <w:rPr>
          <w:rFonts w:ascii="仿宋" w:hAnsi="仿宋" w:eastAsia="仿宋"/>
          <w:b/>
          <w:color w:val="000000"/>
          <w:sz w:val="32"/>
          <w:szCs w:val="32"/>
        </w:rPr>
      </w:pPr>
      <w:bookmarkStart w:id="43" w:name="_Toc15377210"/>
      <w:r>
        <w:rPr>
          <w:rFonts w:hint="eastAsia" w:ascii="仿宋" w:hAnsi="仿宋" w:eastAsia="仿宋"/>
          <w:b/>
          <w:color w:val="000000"/>
          <w:sz w:val="32"/>
          <w:szCs w:val="32"/>
        </w:rPr>
        <w:t>（一）一般公共预算财政拨款支出决算总体情况</w:t>
      </w:r>
      <w:bookmarkEnd w:id="43"/>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7990.22</w:t>
      </w:r>
      <w:r>
        <w:rPr>
          <w:rFonts w:hint="eastAsia" w:ascii="仿宋" w:hAnsi="仿宋" w:eastAsia="仿宋"/>
          <w:color w:val="000000"/>
          <w:sz w:val="32"/>
          <w:szCs w:val="32"/>
        </w:rPr>
        <w:t>万元，占本年支出8828.8合计的</w:t>
      </w:r>
      <w:r>
        <w:rPr>
          <w:rFonts w:hint="eastAsia" w:ascii="仿宋" w:hAnsi="仿宋" w:eastAsia="仿宋"/>
          <w:color w:val="000000"/>
          <w:sz w:val="32"/>
          <w:szCs w:val="32"/>
          <w:lang w:val="en-US" w:eastAsia="zh-CN"/>
        </w:rPr>
        <w:t>90.5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w:t>
      </w:r>
      <w:r>
        <w:rPr>
          <w:rFonts w:hint="eastAsia" w:ascii="仿宋_GB2312" w:hAnsi="仿宋_GB2312" w:eastAsia="仿宋_GB2312" w:cs="仿宋_GB2312"/>
          <w:color w:val="000000" w:themeColor="text1"/>
          <w:sz w:val="32"/>
          <w:szCs w:val="32"/>
          <w14:textFill>
            <w14:solidFill>
              <w14:schemeClr w14:val="tx1"/>
            </w14:solidFill>
          </w14:textFill>
        </w:rPr>
        <w:t>4688.52</w:t>
      </w:r>
      <w:r>
        <w:rPr>
          <w:rFonts w:hint="eastAsia" w:ascii="仿宋" w:hAnsi="仿宋" w:eastAsia="仿宋"/>
          <w:color w:val="000000"/>
          <w:sz w:val="32"/>
          <w:szCs w:val="32"/>
        </w:rPr>
        <w:t>相比，一般公共预算财政拨款增加</w:t>
      </w:r>
      <w:r>
        <w:rPr>
          <w:rFonts w:hint="eastAsia" w:ascii="仿宋" w:hAnsi="仿宋" w:eastAsia="仿宋"/>
          <w:color w:val="000000"/>
          <w:sz w:val="32"/>
          <w:szCs w:val="32"/>
          <w:lang w:val="en-US" w:eastAsia="zh-CN"/>
        </w:rPr>
        <w:t>3301.7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41.32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农办合并，增人增资。</w:t>
      </w:r>
    </w:p>
    <w:p>
      <w:pPr>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84065" cy="2755265"/>
            <wp:effectExtent l="0" t="0" r="6985" b="6985"/>
            <wp:docPr id="5" name="图片 5"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true"/>
                    </pic:cNvPicPr>
                  </pic:nvPicPr>
                  <pic:blipFill>
                    <a:blip r:embed="rId10"/>
                    <a:stretch>
                      <a:fillRect/>
                    </a:stretch>
                  </pic:blipFill>
                  <pic:spPr>
                    <a:xfrm>
                      <a:off x="0" y="0"/>
                      <a:ext cx="4584065" cy="2755265"/>
                    </a:xfrm>
                    <a:prstGeom prst="rect">
                      <a:avLst/>
                    </a:prstGeom>
                  </pic:spPr>
                </pic:pic>
              </a:graphicData>
            </a:graphic>
          </wp:inline>
        </w:drawing>
      </w:r>
    </w:p>
    <w:p>
      <w:pPr>
        <w:spacing w:line="600" w:lineRule="exact"/>
        <w:ind w:firstLine="642" w:firstLineChars="200"/>
        <w:outlineLvl w:val="2"/>
        <w:rPr>
          <w:rFonts w:ascii="仿宋" w:hAnsi="仿宋" w:eastAsia="仿宋"/>
          <w:b/>
          <w:color w:val="000000"/>
          <w:sz w:val="32"/>
          <w:szCs w:val="32"/>
        </w:rPr>
      </w:pPr>
      <w:bookmarkStart w:id="44" w:name="_Toc15377211"/>
      <w:r>
        <w:rPr>
          <w:rFonts w:hint="eastAsia" w:ascii="仿宋" w:hAnsi="仿宋" w:eastAsia="仿宋"/>
          <w:b/>
          <w:color w:val="000000"/>
          <w:sz w:val="32"/>
          <w:szCs w:val="32"/>
        </w:rPr>
        <w:t>（二）一般公共预算财政拨款支出决算结构情况</w:t>
      </w:r>
      <w:bookmarkEnd w:id="44"/>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rPr>
        <w:t>7990.2</w:t>
      </w:r>
      <w:r>
        <w:rPr>
          <w:rFonts w:hint="eastAsia" w:ascii="仿宋" w:hAnsi="仿宋" w:eastAsia="仿宋"/>
          <w:color w:val="000000"/>
          <w:sz w:val="32"/>
          <w:szCs w:val="32"/>
          <w:lang w:val="en-US" w:eastAsia="zh-CN"/>
        </w:rPr>
        <w:t>2</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支出19.25万元，占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w:t>
      </w:r>
      <w:r>
        <w:rPr>
          <w:rFonts w:hint="eastAsia" w:ascii="仿宋_GB2312" w:hAnsi="仿宋_GB2312" w:eastAsia="仿宋_GB2312" w:cs="仿宋_GB2312"/>
          <w:color w:val="000000" w:themeColor="text1"/>
          <w:sz w:val="32"/>
          <w:szCs w:val="32"/>
          <w14:textFill>
            <w14:solidFill>
              <w14:schemeClr w14:val="tx1"/>
            </w14:solidFill>
          </w14:textFill>
        </w:rPr>
        <w:t>支出226.07万元，占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2.83</w:t>
      </w:r>
      <w:r>
        <w:rPr>
          <w:rFonts w:hint="eastAsia" w:ascii="仿宋_GB2312" w:hAnsi="仿宋_GB2312" w:eastAsia="仿宋_GB2312" w:cs="仿宋_GB2312"/>
          <w:color w:val="000000" w:themeColor="text1"/>
          <w:sz w:val="32"/>
          <w:szCs w:val="32"/>
          <w14:textFill>
            <w14:solidFill>
              <w14:schemeClr w14:val="tx1"/>
            </w14:solidFill>
          </w14:textFill>
        </w:rPr>
        <w:t>%；医疗卫生支出111.48万元，占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%；节能环保支出18万元，占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0.23</w:t>
      </w:r>
      <w:r>
        <w:rPr>
          <w:rFonts w:hint="eastAsia" w:ascii="仿宋_GB2312" w:hAnsi="仿宋_GB2312" w:eastAsia="仿宋_GB2312" w:cs="仿宋_GB2312"/>
          <w:color w:val="000000" w:themeColor="text1"/>
          <w:sz w:val="32"/>
          <w:szCs w:val="32"/>
          <w14:textFill>
            <w14:solidFill>
              <w14:schemeClr w14:val="tx1"/>
            </w14:solidFill>
          </w14:textFill>
        </w:rPr>
        <w:t>%；农林水支出7387.67万元，占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92.46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w:t>
      </w:r>
      <w:r>
        <w:rPr>
          <w:rFonts w:hint="eastAsia" w:ascii="仿宋_GB2312" w:hAnsi="仿宋_GB2312" w:eastAsia="仿宋_GB2312" w:cs="仿宋_GB2312"/>
          <w:color w:val="000000" w:themeColor="text1"/>
          <w:sz w:val="32"/>
          <w:szCs w:val="32"/>
          <w14:textFill>
            <w14:solidFill>
              <w14:schemeClr w14:val="tx1"/>
            </w14:solidFill>
          </w14:textFill>
        </w:rPr>
        <w:t>支出2万元，占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0.01</w:t>
      </w:r>
      <w:r>
        <w:rPr>
          <w:rFonts w:hint="eastAsia" w:ascii="仿宋_GB2312" w:hAnsi="仿宋_GB2312" w:eastAsia="仿宋_GB2312" w:cs="仿宋_GB2312"/>
          <w:color w:val="000000" w:themeColor="text1"/>
          <w:sz w:val="32"/>
          <w:szCs w:val="32"/>
          <w14:textFill>
            <w14:solidFill>
              <w14:schemeClr w14:val="tx1"/>
            </w14:solidFill>
          </w14:textFill>
        </w:rPr>
        <w:t>%；住房保障支出225.75万元，占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2.83</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240" w:lineRule="auto"/>
        <w:ind w:firstLine="64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5267960" cy="2848610"/>
            <wp:effectExtent l="0" t="0" r="8890" b="0"/>
            <wp:docPr id="6" name="图片 6"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true"/>
                    </pic:cNvPicPr>
                  </pic:nvPicPr>
                  <pic:blipFill>
                    <a:blip r:embed="rId11"/>
                    <a:stretch>
                      <a:fillRect/>
                    </a:stretch>
                  </pic:blipFill>
                  <pic:spPr>
                    <a:xfrm>
                      <a:off x="0" y="0"/>
                      <a:ext cx="5267960" cy="2848610"/>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45" w:name="_Toc15377212"/>
      <w:r>
        <w:rPr>
          <w:rFonts w:hint="eastAsia" w:ascii="仿宋" w:hAnsi="仿宋" w:eastAsia="仿宋"/>
          <w:b/>
          <w:color w:val="000000"/>
          <w:sz w:val="32"/>
          <w:szCs w:val="32"/>
        </w:rPr>
        <w:t>（三）一般公共预算财政拨款支出决算具体情况</w:t>
      </w:r>
      <w:bookmarkEnd w:id="45"/>
    </w:p>
    <w:p>
      <w:pPr>
        <w:spacing w:line="600" w:lineRule="exact"/>
        <w:ind w:firstLine="642" w:firstLineChars="200"/>
        <w:outlineLvl w:val="2"/>
        <w:rPr>
          <w:rFonts w:ascii="仿宋" w:hAnsi="仿宋" w:eastAsia="仿宋"/>
          <w:color w:val="FF0000"/>
          <w:sz w:val="32"/>
          <w:szCs w:val="32"/>
        </w:rPr>
      </w:pPr>
      <w:bookmarkStart w:id="46" w:name="_Toc15377213"/>
      <w:bookmarkStart w:id="47" w:name="_Toc15377444"/>
      <w:bookmarkStart w:id="48" w:name="_Toc15378460"/>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7990.22</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81.98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46"/>
      <w:bookmarkEnd w:id="47"/>
      <w:bookmarkEnd w:id="48"/>
    </w:p>
    <w:p>
      <w:pPr>
        <w:spacing w:line="600"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_GB2312" w:eastAsia="仿宋_GB2312" w:cs="仿宋_GB2312"/>
          <w:bCs/>
          <w:color w:val="000000" w:themeColor="text1"/>
          <w:sz w:val="32"/>
          <w:szCs w:val="32"/>
          <w14:textFill>
            <w14:solidFill>
              <w14:schemeClr w14:val="tx1"/>
            </w14:solidFill>
          </w14:textFill>
        </w:rPr>
        <w:t>1.一般公共服务（类）商贸事务（款）招商引资（项）: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支出决算为19.25万元，完成预算</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%，决算数</w:t>
      </w:r>
      <w:r>
        <w:rPr>
          <w:rStyle w:val="14"/>
          <w:rFonts w:hint="eastAsia" w:ascii="仿宋_GB2312" w:hAnsi="仿宋_GB2312" w:eastAsia="仿宋_GB2312" w:cs="仿宋_GB2312"/>
          <w:b w:val="0"/>
          <w:bCs/>
          <w:color w:val="000000" w:themeColor="text1"/>
          <w:sz w:val="32"/>
          <w:szCs w:val="32"/>
          <w:lang w:eastAsia="zh-CN"/>
          <w14:textFill>
            <w14:solidFill>
              <w14:schemeClr w14:val="tx1"/>
            </w14:solidFill>
          </w14:textFill>
        </w:rPr>
        <w:t>大于</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预算数的主要原因是</w:t>
      </w:r>
      <w:r>
        <w:rPr>
          <w:rFonts w:hint="eastAsia" w:ascii="仿宋_GB2312" w:hAnsi="仿宋_GB2312" w:eastAsia="仿宋_GB2312" w:cs="仿宋_GB2312"/>
          <w:bCs/>
          <w:color w:val="000000" w:themeColor="text1"/>
          <w:sz w:val="32"/>
          <w:szCs w:val="32"/>
          <w14:textFill>
            <w14:solidFill>
              <w14:schemeClr w14:val="tx1"/>
            </w14:solidFill>
          </w14:textFill>
        </w:rPr>
        <w:t>我局加强对农业招商引资工作的管理。全面完成2018年市政府下达的目标任务。</w:t>
      </w:r>
    </w:p>
    <w:p>
      <w:pPr>
        <w:spacing w:line="600"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2.社会保障和就业（类）行政事业单位离退休（款）</w:t>
      </w:r>
      <w:r>
        <w:rPr>
          <w:rStyle w:val="14"/>
          <w:rFonts w:hint="eastAsia" w:ascii="仿宋_GB2312" w:eastAsia="仿宋_GB2312"/>
          <w:color w:val="000000" w:themeColor="text1"/>
          <w:sz w:val="32"/>
          <w:szCs w:val="32"/>
          <w14:textFill>
            <w14:solidFill>
              <w14:schemeClr w14:val="tx1"/>
            </w14:solidFill>
          </w14:textFill>
        </w:rPr>
        <w:t>未归口管理的行政事业单位离退休</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31.62</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600"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3.社会保障和就业（类）行政事业单位离退休（款）</w:t>
      </w:r>
      <w:r>
        <w:rPr>
          <w:rStyle w:val="14"/>
          <w:rFonts w:hint="eastAsia" w:ascii="仿宋_GB2312" w:eastAsia="仿宋_GB2312"/>
          <w:color w:val="000000" w:themeColor="text1"/>
          <w:sz w:val="32"/>
          <w:szCs w:val="32"/>
          <w14:textFill>
            <w14:solidFill>
              <w14:schemeClr w14:val="tx1"/>
            </w14:solidFill>
          </w14:textFill>
        </w:rPr>
        <w:t>机关事业单位养老保险缴费支出</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156.84</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600"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4.社会保障和就业（类）</w:t>
      </w:r>
      <w:r>
        <w:rPr>
          <w:rStyle w:val="14"/>
          <w:rFonts w:hint="eastAsia" w:ascii="仿宋_GB2312" w:eastAsia="仿宋_GB2312"/>
          <w:color w:val="000000" w:themeColor="text1"/>
          <w:sz w:val="32"/>
          <w:szCs w:val="32"/>
          <w14:textFill>
            <w14:solidFill>
              <w14:schemeClr w14:val="tx1"/>
            </w14:solidFill>
          </w14:textFill>
        </w:rPr>
        <w:t>抚恤</w:t>
      </w:r>
      <w:r>
        <w:rPr>
          <w:rStyle w:val="14"/>
          <w:rFonts w:hint="eastAsia" w:ascii="仿宋_GB2312" w:hAnsi="仿宋" w:eastAsia="仿宋_GB2312"/>
          <w:bCs/>
          <w:color w:val="000000" w:themeColor="text1"/>
          <w:sz w:val="32"/>
          <w:szCs w:val="32"/>
          <w14:textFill>
            <w14:solidFill>
              <w14:schemeClr w14:val="tx1"/>
            </w14:solidFill>
          </w14:textFill>
        </w:rPr>
        <w:t>（款）</w:t>
      </w:r>
      <w:r>
        <w:rPr>
          <w:rStyle w:val="14"/>
          <w:rFonts w:hint="eastAsia" w:ascii="仿宋_GB2312" w:eastAsia="仿宋_GB2312"/>
          <w:color w:val="000000" w:themeColor="text1"/>
          <w:sz w:val="32"/>
          <w:szCs w:val="32"/>
          <w14:textFill>
            <w14:solidFill>
              <w14:schemeClr w14:val="tx1"/>
            </w14:solidFill>
          </w14:textFill>
        </w:rPr>
        <w:t>死亡抚恤</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37.52</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600" w:lineRule="exact"/>
        <w:ind w:firstLine="642" w:firstLineChars="200"/>
        <w:rPr>
          <w:rFonts w:ascii="仿宋_GB2312" w:eastAsia="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lang w:val="en-US" w:eastAsia="zh-CN"/>
          <w14:textFill>
            <w14:solidFill>
              <w14:schemeClr w14:val="tx1"/>
            </w14:solidFill>
          </w14:textFill>
        </w:rPr>
        <w:t>5</w:t>
      </w:r>
      <w:r>
        <w:rPr>
          <w:rStyle w:val="14"/>
          <w:rFonts w:hint="eastAsia" w:ascii="仿宋_GB2312" w:hAnsi="仿宋" w:eastAsia="仿宋_GB2312"/>
          <w:bCs/>
          <w:color w:val="000000" w:themeColor="text1"/>
          <w:sz w:val="32"/>
          <w:szCs w:val="32"/>
          <w14:textFill>
            <w14:solidFill>
              <w14:schemeClr w14:val="tx1"/>
            </w14:solidFill>
          </w14:textFill>
        </w:rPr>
        <w:t>.</w:t>
      </w:r>
      <w:r>
        <w:rPr>
          <w:rStyle w:val="14"/>
          <w:rFonts w:hint="eastAsia" w:ascii="仿宋_GB2312" w:eastAsia="仿宋_GB2312"/>
          <w:color w:val="000000" w:themeColor="text1"/>
          <w:sz w:val="32"/>
          <w:szCs w:val="32"/>
          <w14:textFill>
            <w14:solidFill>
              <w14:schemeClr w14:val="tx1"/>
            </w14:solidFill>
          </w14:textFill>
        </w:rPr>
        <w:t>医疗卫生与计划生育</w:t>
      </w:r>
      <w:r>
        <w:rPr>
          <w:rStyle w:val="14"/>
          <w:rFonts w:hint="eastAsia" w:ascii="仿宋_GB2312" w:hAnsi="仿宋" w:eastAsia="仿宋_GB2312"/>
          <w:bCs/>
          <w:color w:val="000000" w:themeColor="text1"/>
          <w:sz w:val="32"/>
          <w:szCs w:val="32"/>
          <w14:textFill>
            <w14:solidFill>
              <w14:schemeClr w14:val="tx1"/>
            </w14:solidFill>
          </w14:textFill>
        </w:rPr>
        <w:t>（类）</w:t>
      </w:r>
      <w:r>
        <w:rPr>
          <w:rStyle w:val="14"/>
          <w:rFonts w:hint="eastAsia" w:ascii="仿宋_GB2312" w:eastAsia="仿宋_GB2312"/>
          <w:color w:val="000000" w:themeColor="text1"/>
          <w:sz w:val="32"/>
          <w:szCs w:val="32"/>
          <w14:textFill>
            <w14:solidFill>
              <w14:schemeClr w14:val="tx1"/>
            </w14:solidFill>
          </w14:textFill>
        </w:rPr>
        <w:t>行政事业单位医疗</w:t>
      </w:r>
      <w:r>
        <w:rPr>
          <w:rStyle w:val="14"/>
          <w:rFonts w:hint="eastAsia" w:ascii="仿宋_GB2312" w:hAnsi="仿宋" w:eastAsia="仿宋_GB2312"/>
          <w:bCs/>
          <w:color w:val="000000" w:themeColor="text1"/>
          <w:sz w:val="32"/>
          <w:szCs w:val="32"/>
          <w14:textFill>
            <w14:solidFill>
              <w14:schemeClr w14:val="tx1"/>
            </w14:solidFill>
          </w14:textFill>
        </w:rPr>
        <w:t>（款）</w:t>
      </w:r>
      <w:r>
        <w:rPr>
          <w:rStyle w:val="14"/>
          <w:rFonts w:hint="eastAsia" w:ascii="仿宋_GB2312" w:eastAsia="仿宋_GB2312"/>
          <w:color w:val="000000" w:themeColor="text1"/>
          <w:sz w:val="32"/>
          <w:szCs w:val="32"/>
          <w14:textFill>
            <w14:solidFill>
              <w14:schemeClr w14:val="tx1"/>
            </w14:solidFill>
          </w14:textFill>
        </w:rPr>
        <w:t>行政单位医疗</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 w:eastAsia="仿宋_GB2312"/>
          <w:b w:val="0"/>
          <w:bCs/>
          <w:color w:val="000000" w:themeColor="text1"/>
          <w:sz w:val="32"/>
          <w:szCs w:val="32"/>
          <w14:textFill>
            <w14:solidFill>
              <w14:schemeClr w14:val="tx1"/>
            </w14:solidFill>
          </w14:textFill>
        </w:rPr>
        <w:t>支出决算为</w:t>
      </w:r>
      <w:r>
        <w:rPr>
          <w:rStyle w:val="14"/>
          <w:rFonts w:hint="eastAsia" w:ascii="仿宋_GB2312" w:hAnsi="仿宋" w:eastAsia="仿宋_GB2312"/>
          <w:b w:val="0"/>
          <w:bCs/>
          <w:color w:val="000000" w:themeColor="text1"/>
          <w:sz w:val="32"/>
          <w:szCs w:val="32"/>
          <w:lang w:val="en-US" w:eastAsia="zh-CN"/>
          <w14:textFill>
            <w14:solidFill>
              <w14:schemeClr w14:val="tx1"/>
            </w14:solidFill>
          </w14:textFill>
        </w:rPr>
        <w:t>55.98</w:t>
      </w:r>
      <w:r>
        <w:rPr>
          <w:rStyle w:val="14"/>
          <w:rFonts w:hint="eastAsia" w:ascii="仿宋_GB2312" w:hAnsi="仿宋" w:eastAsia="仿宋_GB2312"/>
          <w:b w:val="0"/>
          <w:bCs/>
          <w:color w:val="000000" w:themeColor="text1"/>
          <w:sz w:val="32"/>
          <w:szCs w:val="32"/>
          <w14:textFill>
            <w14:solidFill>
              <w14:schemeClr w14:val="tx1"/>
            </w14:solidFill>
          </w14:textFill>
        </w:rPr>
        <w:t>万元，完成预算100%</w:t>
      </w:r>
      <w:r>
        <w:rPr>
          <w:rFonts w:hint="eastAsia" w:ascii="仿宋_GB2312" w:eastAsia="仿宋_GB2312"/>
          <w:bCs/>
          <w:color w:val="000000" w:themeColor="text1"/>
          <w:sz w:val="32"/>
          <w:szCs w:val="32"/>
          <w14:textFill>
            <w14:solidFill>
              <w14:schemeClr w14:val="tx1"/>
            </w14:solidFill>
          </w14:textFill>
        </w:rPr>
        <w:t>。</w:t>
      </w:r>
    </w:p>
    <w:p>
      <w:pPr>
        <w:spacing w:line="600" w:lineRule="exact"/>
        <w:ind w:firstLine="642" w:firstLineChars="200"/>
        <w:rPr>
          <w:rFonts w:ascii="仿宋_GB2312" w:eastAsia="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lang w:val="en-US" w:eastAsia="zh-CN"/>
          <w14:textFill>
            <w14:solidFill>
              <w14:schemeClr w14:val="tx1"/>
            </w14:solidFill>
          </w14:textFill>
        </w:rPr>
        <w:t>6</w:t>
      </w:r>
      <w:r>
        <w:rPr>
          <w:rStyle w:val="14"/>
          <w:rFonts w:hint="eastAsia" w:ascii="仿宋_GB2312" w:hAnsi="仿宋" w:eastAsia="仿宋_GB2312"/>
          <w:bCs/>
          <w:color w:val="000000" w:themeColor="text1"/>
          <w:sz w:val="32"/>
          <w:szCs w:val="32"/>
          <w14:textFill>
            <w14:solidFill>
              <w14:schemeClr w14:val="tx1"/>
            </w14:solidFill>
          </w14:textFill>
        </w:rPr>
        <w:t>.</w:t>
      </w:r>
      <w:r>
        <w:rPr>
          <w:rStyle w:val="14"/>
          <w:rFonts w:hint="eastAsia" w:ascii="仿宋_GB2312" w:eastAsia="仿宋_GB2312"/>
          <w:color w:val="000000" w:themeColor="text1"/>
          <w:sz w:val="32"/>
          <w:szCs w:val="32"/>
          <w14:textFill>
            <w14:solidFill>
              <w14:schemeClr w14:val="tx1"/>
            </w14:solidFill>
          </w14:textFill>
        </w:rPr>
        <w:t>医疗卫生与计划生育</w:t>
      </w:r>
      <w:r>
        <w:rPr>
          <w:rStyle w:val="14"/>
          <w:rFonts w:hint="eastAsia" w:ascii="仿宋_GB2312" w:hAnsi="仿宋" w:eastAsia="仿宋_GB2312"/>
          <w:bCs/>
          <w:color w:val="000000" w:themeColor="text1"/>
          <w:sz w:val="32"/>
          <w:szCs w:val="32"/>
          <w14:textFill>
            <w14:solidFill>
              <w14:schemeClr w14:val="tx1"/>
            </w14:solidFill>
          </w14:textFill>
        </w:rPr>
        <w:t>（类）</w:t>
      </w:r>
      <w:r>
        <w:rPr>
          <w:rStyle w:val="14"/>
          <w:rFonts w:hint="eastAsia" w:ascii="仿宋_GB2312" w:eastAsia="仿宋_GB2312"/>
          <w:color w:val="000000" w:themeColor="text1"/>
          <w:sz w:val="32"/>
          <w:szCs w:val="32"/>
          <w14:textFill>
            <w14:solidFill>
              <w14:schemeClr w14:val="tx1"/>
            </w14:solidFill>
          </w14:textFill>
        </w:rPr>
        <w:t>行政事业单位医疗</w:t>
      </w:r>
      <w:r>
        <w:rPr>
          <w:rStyle w:val="14"/>
          <w:rFonts w:hint="eastAsia" w:ascii="仿宋_GB2312" w:hAnsi="仿宋" w:eastAsia="仿宋_GB2312"/>
          <w:bCs/>
          <w:color w:val="000000" w:themeColor="text1"/>
          <w:sz w:val="32"/>
          <w:szCs w:val="32"/>
          <w14:textFill>
            <w14:solidFill>
              <w14:schemeClr w14:val="tx1"/>
            </w14:solidFill>
          </w14:textFill>
        </w:rPr>
        <w:t>（款）</w:t>
      </w:r>
      <w:r>
        <w:rPr>
          <w:rStyle w:val="14"/>
          <w:rFonts w:hint="eastAsia" w:ascii="仿宋_GB2312" w:eastAsia="仿宋_GB2312"/>
          <w:color w:val="000000" w:themeColor="text1"/>
          <w:sz w:val="32"/>
          <w:szCs w:val="32"/>
          <w14:textFill>
            <w14:solidFill>
              <w14:schemeClr w14:val="tx1"/>
            </w14:solidFill>
          </w14:textFill>
        </w:rPr>
        <w:t>事业单位医疗</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 w:eastAsia="仿宋_GB2312"/>
          <w:b w:val="0"/>
          <w:bCs/>
          <w:color w:val="000000" w:themeColor="text1"/>
          <w:sz w:val="32"/>
          <w:szCs w:val="32"/>
          <w14:textFill>
            <w14:solidFill>
              <w14:schemeClr w14:val="tx1"/>
            </w14:solidFill>
          </w14:textFill>
        </w:rPr>
        <w:t>支出决算为</w:t>
      </w:r>
      <w:r>
        <w:rPr>
          <w:rStyle w:val="14"/>
          <w:rFonts w:hint="eastAsia" w:ascii="仿宋_GB2312" w:hAnsi="仿宋" w:eastAsia="仿宋_GB2312"/>
          <w:b w:val="0"/>
          <w:bCs/>
          <w:color w:val="000000" w:themeColor="text1"/>
          <w:sz w:val="32"/>
          <w:szCs w:val="32"/>
          <w:lang w:val="en-US" w:eastAsia="zh-CN"/>
          <w14:textFill>
            <w14:solidFill>
              <w14:schemeClr w14:val="tx1"/>
            </w14:solidFill>
          </w14:textFill>
        </w:rPr>
        <w:t>55.5</w:t>
      </w:r>
      <w:r>
        <w:rPr>
          <w:rStyle w:val="14"/>
          <w:rFonts w:hint="eastAsia" w:ascii="仿宋_GB2312" w:hAnsi="仿宋" w:eastAsia="仿宋_GB2312"/>
          <w:b w:val="0"/>
          <w:bCs/>
          <w:color w:val="000000" w:themeColor="text1"/>
          <w:sz w:val="32"/>
          <w:szCs w:val="32"/>
          <w14:textFill>
            <w14:solidFill>
              <w14:schemeClr w14:val="tx1"/>
            </w14:solidFill>
          </w14:textFill>
        </w:rPr>
        <w:t>万元，完成预算100%</w:t>
      </w:r>
      <w:r>
        <w:rPr>
          <w:rFonts w:hint="eastAsia" w:ascii="仿宋_GB2312" w:eastAsia="仿宋_GB2312"/>
          <w:bCs/>
          <w:color w:val="000000" w:themeColor="text1"/>
          <w:sz w:val="32"/>
          <w:szCs w:val="32"/>
          <w14:textFill>
            <w14:solidFill>
              <w14:schemeClr w14:val="tx1"/>
            </w14:solidFill>
          </w14:textFill>
        </w:rPr>
        <w:t>。</w:t>
      </w:r>
    </w:p>
    <w:p>
      <w:pPr>
        <w:spacing w:line="600" w:lineRule="exact"/>
        <w:ind w:firstLine="642" w:firstLineChars="200"/>
        <w:rPr>
          <w:rStyle w:val="14"/>
          <w:rFonts w:hint="eastAsia" w:ascii="仿宋_GB2312" w:hAnsi="仿宋" w:eastAsia="仿宋_GB2312"/>
          <w:b w:val="0"/>
          <w:bCs/>
          <w:color w:val="000000" w:themeColor="text1"/>
          <w:sz w:val="32"/>
          <w:szCs w:val="32"/>
          <w:lang w:val="en-US" w:eastAsia="zh-CN"/>
          <w14:textFill>
            <w14:solidFill>
              <w14:schemeClr w14:val="tx1"/>
            </w14:solidFill>
          </w14:textFill>
        </w:rPr>
      </w:pPr>
      <w:r>
        <w:rPr>
          <w:rStyle w:val="14"/>
          <w:rFonts w:hint="eastAsia" w:ascii="仿宋_GB2312" w:hAnsi="仿宋" w:eastAsia="仿宋_GB2312"/>
          <w:bCs/>
          <w:color w:val="000000" w:themeColor="text1"/>
          <w:sz w:val="32"/>
          <w:szCs w:val="32"/>
          <w:lang w:val="en-US" w:eastAsia="zh-CN"/>
          <w14:textFill>
            <w14:solidFill>
              <w14:schemeClr w14:val="tx1"/>
            </w14:solidFill>
          </w14:textFill>
        </w:rPr>
        <w:t>7</w:t>
      </w:r>
      <w:r>
        <w:rPr>
          <w:rStyle w:val="14"/>
          <w:rFonts w:hint="eastAsia" w:ascii="仿宋_GB2312" w:hAnsi="仿宋" w:eastAsia="仿宋_GB2312"/>
          <w:bCs/>
          <w:color w:val="000000" w:themeColor="text1"/>
          <w:sz w:val="32"/>
          <w:szCs w:val="32"/>
          <w14:textFill>
            <w14:solidFill>
              <w14:schemeClr w14:val="tx1"/>
            </w14:solidFill>
          </w14:textFill>
        </w:rPr>
        <w:t>.</w:t>
      </w:r>
      <w:r>
        <w:rPr>
          <w:rStyle w:val="14"/>
          <w:rFonts w:hint="eastAsia" w:ascii="仿宋_GB2312" w:eastAsia="仿宋_GB2312"/>
          <w:color w:val="000000" w:themeColor="text1"/>
          <w:sz w:val="32"/>
          <w:szCs w:val="32"/>
          <w14:textFill>
            <w14:solidFill>
              <w14:schemeClr w14:val="tx1"/>
            </w14:solidFill>
          </w14:textFill>
        </w:rPr>
        <w:t>节能环保（类）污染防治（款）大气（项）</w:t>
      </w:r>
      <w:r>
        <w:rPr>
          <w:rStyle w:val="14"/>
          <w:rFonts w:hint="eastAsia" w:ascii="仿宋_GB2312" w:hAnsi="仿宋" w:eastAsia="仿宋_GB2312"/>
          <w:bCs/>
          <w:color w:val="000000" w:themeColor="text1"/>
          <w:sz w:val="32"/>
          <w:szCs w:val="32"/>
          <w14:textFill>
            <w14:solidFill>
              <w14:schemeClr w14:val="tx1"/>
            </w14:solidFill>
          </w14:textFill>
        </w:rPr>
        <w:t>:</w:t>
      </w:r>
      <w:r>
        <w:rPr>
          <w:rStyle w:val="14"/>
          <w:rFonts w:hint="eastAsia" w:ascii="仿宋_GB2312" w:hAnsi="仿宋" w:eastAsia="仿宋_GB2312"/>
          <w:b w:val="0"/>
          <w:bCs/>
          <w:color w:val="000000" w:themeColor="text1"/>
          <w:sz w:val="32"/>
          <w:szCs w:val="32"/>
          <w14:textFill>
            <w14:solidFill>
              <w14:schemeClr w14:val="tx1"/>
            </w14:solidFill>
          </w14:textFill>
        </w:rPr>
        <w:t xml:space="preserve">支出决算为 </w:t>
      </w:r>
      <w:r>
        <w:rPr>
          <w:rStyle w:val="14"/>
          <w:rFonts w:hint="eastAsia" w:ascii="仿宋_GB2312" w:hAnsi="仿宋" w:eastAsia="仿宋_GB2312"/>
          <w:b w:val="0"/>
          <w:bCs/>
          <w:color w:val="000000" w:themeColor="text1"/>
          <w:sz w:val="32"/>
          <w:szCs w:val="32"/>
          <w:lang w:val="en-US" w:eastAsia="zh-CN"/>
          <w14:textFill>
            <w14:solidFill>
              <w14:schemeClr w14:val="tx1"/>
            </w14:solidFill>
          </w14:textFill>
        </w:rPr>
        <w:t>18</w:t>
      </w:r>
      <w:r>
        <w:rPr>
          <w:rStyle w:val="14"/>
          <w:rFonts w:hint="eastAsia" w:ascii="仿宋_GB2312" w:hAnsi="仿宋" w:eastAsia="仿宋_GB2312"/>
          <w:b w:val="0"/>
          <w:bCs/>
          <w:color w:val="000000" w:themeColor="text1"/>
          <w:sz w:val="32"/>
          <w:szCs w:val="32"/>
          <w14:textFill>
            <w14:solidFill>
              <w14:schemeClr w14:val="tx1"/>
            </w14:solidFill>
          </w14:textFill>
        </w:rPr>
        <w:t>万元，完成预算</w:t>
      </w:r>
      <w:r>
        <w:rPr>
          <w:rStyle w:val="14"/>
          <w:rFonts w:hint="eastAsia" w:ascii="仿宋_GB2312" w:hAnsi="仿宋" w:eastAsia="仿宋_GB2312"/>
          <w:b w:val="0"/>
          <w:bCs/>
          <w:color w:val="000000" w:themeColor="text1"/>
          <w:sz w:val="32"/>
          <w:szCs w:val="32"/>
          <w:lang w:val="en-US" w:eastAsia="zh-CN"/>
          <w14:textFill>
            <w14:solidFill>
              <w14:schemeClr w14:val="tx1"/>
            </w14:solidFill>
          </w14:textFill>
        </w:rPr>
        <w:t>100</w:t>
      </w:r>
      <w:r>
        <w:rPr>
          <w:rStyle w:val="14"/>
          <w:rFonts w:hint="eastAsia" w:ascii="仿宋_GB2312" w:hAnsi="仿宋" w:eastAsia="仿宋_GB2312"/>
          <w:b w:val="0"/>
          <w:bCs/>
          <w:color w:val="000000" w:themeColor="text1"/>
          <w:sz w:val="32"/>
          <w:szCs w:val="32"/>
          <w14:textFill>
            <w14:solidFill>
              <w14:schemeClr w14:val="tx1"/>
            </w14:solidFill>
          </w14:textFill>
        </w:rPr>
        <w:t>%</w:t>
      </w:r>
      <w:r>
        <w:rPr>
          <w:rStyle w:val="14"/>
          <w:rFonts w:hint="eastAsia" w:ascii="仿宋_GB2312" w:hAnsi="仿宋" w:eastAsia="仿宋_GB2312"/>
          <w:b w:val="0"/>
          <w:bCs/>
          <w:color w:val="000000" w:themeColor="text1"/>
          <w:sz w:val="32"/>
          <w:szCs w:val="32"/>
          <w:lang w:val="en-US" w:eastAsia="zh-CN"/>
          <w14:textFill>
            <w14:solidFill>
              <w14:schemeClr w14:val="tx1"/>
            </w14:solidFill>
          </w14:textFill>
        </w:rPr>
        <w:t>.</w:t>
      </w:r>
    </w:p>
    <w:p>
      <w:pPr>
        <w:spacing w:line="600" w:lineRule="exact"/>
        <w:ind w:firstLine="642" w:firstLineChars="200"/>
        <w:rPr>
          <w:rFonts w:ascii="仿宋_GB2312" w:eastAsia="仿宋_GB2312"/>
          <w:bCs/>
          <w:color w:val="auto"/>
          <w:sz w:val="32"/>
          <w:szCs w:val="32"/>
        </w:rPr>
      </w:pPr>
      <w:r>
        <w:rPr>
          <w:rStyle w:val="14"/>
          <w:rFonts w:hint="eastAsia" w:ascii="仿宋_GB2312" w:hAnsi="仿宋" w:eastAsia="仿宋_GB2312"/>
          <w:bCs/>
          <w:color w:val="auto"/>
          <w:sz w:val="32"/>
          <w:szCs w:val="32"/>
          <w:lang w:val="en-US" w:eastAsia="zh-CN"/>
        </w:rPr>
        <w:t>8</w:t>
      </w:r>
      <w:r>
        <w:rPr>
          <w:rStyle w:val="14"/>
          <w:rFonts w:hint="eastAsia" w:ascii="仿宋_GB2312" w:hAnsi="仿宋" w:eastAsia="仿宋_GB2312"/>
          <w:bCs/>
          <w:color w:val="auto"/>
          <w:sz w:val="32"/>
          <w:szCs w:val="32"/>
        </w:rPr>
        <w:t>.</w:t>
      </w:r>
      <w:r>
        <w:rPr>
          <w:rStyle w:val="14"/>
          <w:rFonts w:hint="eastAsia" w:ascii="仿宋_GB2312" w:eastAsia="仿宋_GB2312"/>
          <w:color w:val="auto"/>
          <w:sz w:val="32"/>
          <w:szCs w:val="32"/>
        </w:rPr>
        <w:t>农林水（类）农业（款）行政运行（项）:</w:t>
      </w:r>
      <w:r>
        <w:rPr>
          <w:rFonts w:hint="eastAsia" w:ascii="仿宋_GB2312" w:eastAsia="仿宋_GB2312"/>
          <w:bCs/>
          <w:color w:val="auto"/>
          <w:sz w:val="32"/>
          <w:szCs w:val="32"/>
        </w:rPr>
        <w:t>支出决算为</w:t>
      </w:r>
      <w:r>
        <w:rPr>
          <w:rFonts w:hint="eastAsia" w:ascii="仿宋_GB2312" w:eastAsia="仿宋_GB2312"/>
          <w:bCs/>
          <w:color w:val="auto"/>
          <w:sz w:val="32"/>
          <w:szCs w:val="32"/>
          <w:lang w:val="en-US" w:eastAsia="zh-CN"/>
        </w:rPr>
        <w:t>1278.54</w:t>
      </w:r>
      <w:r>
        <w:rPr>
          <w:rFonts w:hint="eastAsia" w:ascii="仿宋_GB2312" w:eastAsia="仿宋_GB2312"/>
          <w:bCs/>
          <w:color w:val="auto"/>
          <w:sz w:val="32"/>
          <w:szCs w:val="32"/>
        </w:rPr>
        <w:t>万元，完成预算100%。</w:t>
      </w:r>
    </w:p>
    <w:p>
      <w:pPr>
        <w:spacing w:line="600" w:lineRule="exact"/>
        <w:ind w:firstLine="642" w:firstLineChars="200"/>
        <w:rPr>
          <w:rFonts w:ascii="仿宋_GB2312" w:eastAsia="仿宋_GB2312"/>
          <w:bCs/>
          <w:color w:val="auto"/>
          <w:sz w:val="32"/>
          <w:szCs w:val="32"/>
        </w:rPr>
      </w:pPr>
      <w:r>
        <w:rPr>
          <w:rStyle w:val="14"/>
          <w:rFonts w:hint="eastAsia" w:ascii="仿宋_GB2312" w:hAnsi="仿宋" w:eastAsia="仿宋_GB2312"/>
          <w:bCs/>
          <w:color w:val="auto"/>
          <w:sz w:val="32"/>
          <w:szCs w:val="32"/>
          <w:lang w:val="en-US" w:eastAsia="zh-CN"/>
        </w:rPr>
        <w:t>9</w:t>
      </w:r>
      <w:r>
        <w:rPr>
          <w:rStyle w:val="14"/>
          <w:rFonts w:hint="eastAsia" w:ascii="仿宋_GB2312" w:hAnsi="仿宋" w:eastAsia="仿宋_GB2312"/>
          <w:bCs/>
          <w:color w:val="auto"/>
          <w:sz w:val="32"/>
          <w:szCs w:val="32"/>
        </w:rPr>
        <w:t>.</w:t>
      </w:r>
      <w:r>
        <w:rPr>
          <w:rStyle w:val="14"/>
          <w:rFonts w:hint="eastAsia" w:ascii="仿宋_GB2312" w:eastAsia="仿宋_GB2312"/>
          <w:color w:val="auto"/>
          <w:sz w:val="32"/>
          <w:szCs w:val="32"/>
        </w:rPr>
        <w:t>农林水（类）农业（款）一般管理事务（项）:</w:t>
      </w:r>
      <w:r>
        <w:rPr>
          <w:rFonts w:hint="eastAsia" w:ascii="仿宋_GB2312" w:eastAsia="仿宋_GB2312"/>
          <w:bCs/>
          <w:color w:val="auto"/>
          <w:sz w:val="32"/>
          <w:szCs w:val="32"/>
        </w:rPr>
        <w:t>支出决算为</w:t>
      </w:r>
      <w:r>
        <w:rPr>
          <w:rFonts w:hint="eastAsia" w:ascii="仿宋_GB2312" w:eastAsia="仿宋_GB2312"/>
          <w:bCs/>
          <w:color w:val="auto"/>
          <w:sz w:val="32"/>
          <w:szCs w:val="32"/>
          <w:lang w:val="en-US" w:eastAsia="zh-CN"/>
        </w:rPr>
        <w:t>276.25</w:t>
      </w:r>
      <w:r>
        <w:rPr>
          <w:rFonts w:hint="eastAsia" w:ascii="仿宋_GB2312" w:eastAsia="仿宋_GB2312"/>
          <w:bCs/>
          <w:color w:val="auto"/>
          <w:sz w:val="32"/>
          <w:szCs w:val="32"/>
        </w:rPr>
        <w:t>元，完成预算</w:t>
      </w:r>
      <w:r>
        <w:rPr>
          <w:rFonts w:hint="eastAsia" w:ascii="仿宋_GB2312" w:eastAsia="仿宋_GB2312"/>
          <w:bCs/>
          <w:color w:val="auto"/>
          <w:sz w:val="32"/>
          <w:szCs w:val="32"/>
          <w:lang w:val="en-US" w:eastAsia="zh-CN"/>
        </w:rPr>
        <w:t>100</w:t>
      </w:r>
      <w:r>
        <w:rPr>
          <w:rFonts w:hint="eastAsia" w:ascii="仿宋_GB2312" w:eastAsia="仿宋_GB2312"/>
          <w:bCs/>
          <w:color w:val="auto"/>
          <w:sz w:val="32"/>
          <w:szCs w:val="32"/>
        </w:rPr>
        <w:t xml:space="preserve"> %。</w:t>
      </w:r>
    </w:p>
    <w:p>
      <w:pPr>
        <w:spacing w:line="600" w:lineRule="exact"/>
        <w:ind w:firstLine="642" w:firstLineChars="200"/>
        <w:rPr>
          <w:rFonts w:ascii="仿宋_GB2312" w:eastAsia="仿宋_GB2312"/>
          <w:bCs/>
          <w:color w:val="auto"/>
          <w:sz w:val="32"/>
          <w:szCs w:val="32"/>
        </w:rPr>
      </w:pPr>
      <w:r>
        <w:rPr>
          <w:rStyle w:val="14"/>
          <w:rFonts w:hint="eastAsia" w:ascii="仿宋_GB2312" w:hAnsi="仿宋" w:eastAsia="仿宋_GB2312"/>
          <w:bCs/>
          <w:color w:val="auto"/>
          <w:sz w:val="32"/>
          <w:szCs w:val="32"/>
        </w:rPr>
        <w:t>1</w:t>
      </w:r>
      <w:r>
        <w:rPr>
          <w:rStyle w:val="14"/>
          <w:rFonts w:hint="eastAsia" w:ascii="仿宋_GB2312" w:hAnsi="仿宋" w:eastAsia="仿宋_GB2312"/>
          <w:bCs/>
          <w:color w:val="auto"/>
          <w:sz w:val="32"/>
          <w:szCs w:val="32"/>
          <w:lang w:val="en-US" w:eastAsia="zh-CN"/>
        </w:rPr>
        <w:t>0</w:t>
      </w:r>
      <w:r>
        <w:rPr>
          <w:rStyle w:val="14"/>
          <w:rFonts w:hint="eastAsia" w:ascii="仿宋_GB2312" w:hAnsi="仿宋" w:eastAsia="仿宋_GB2312"/>
          <w:bCs/>
          <w:color w:val="auto"/>
          <w:sz w:val="32"/>
          <w:szCs w:val="32"/>
        </w:rPr>
        <w:t>.</w:t>
      </w:r>
      <w:r>
        <w:rPr>
          <w:rStyle w:val="14"/>
          <w:rFonts w:hint="eastAsia" w:ascii="仿宋_GB2312" w:eastAsia="仿宋_GB2312"/>
          <w:color w:val="auto"/>
          <w:sz w:val="32"/>
          <w:szCs w:val="32"/>
        </w:rPr>
        <w:t>农林水（类）农业（款）事业运行（项）:</w:t>
      </w:r>
      <w:r>
        <w:rPr>
          <w:rFonts w:hint="eastAsia" w:ascii="仿宋_GB2312" w:eastAsia="仿宋_GB2312"/>
          <w:bCs/>
          <w:color w:val="auto"/>
          <w:sz w:val="32"/>
          <w:szCs w:val="32"/>
        </w:rPr>
        <w:t>支出决算为</w:t>
      </w:r>
      <w:r>
        <w:rPr>
          <w:rFonts w:hint="eastAsia" w:ascii="仿宋_GB2312" w:eastAsia="仿宋_GB2312"/>
          <w:bCs/>
          <w:color w:val="auto"/>
          <w:sz w:val="32"/>
          <w:szCs w:val="32"/>
          <w:lang w:val="en-US" w:eastAsia="zh-CN"/>
        </w:rPr>
        <w:t>811.75</w:t>
      </w:r>
      <w:r>
        <w:rPr>
          <w:rFonts w:hint="eastAsia" w:ascii="仿宋_GB2312" w:eastAsia="仿宋_GB2312"/>
          <w:bCs/>
          <w:color w:val="auto"/>
          <w:sz w:val="32"/>
          <w:szCs w:val="32"/>
        </w:rPr>
        <w:t>万元，完成预算100%。</w:t>
      </w:r>
    </w:p>
    <w:p>
      <w:pPr>
        <w:spacing w:line="600" w:lineRule="exact"/>
        <w:ind w:firstLine="642" w:firstLineChars="200"/>
        <w:rPr>
          <w:rFonts w:ascii="仿宋_GB2312" w:eastAsia="仿宋_GB2312"/>
          <w:bCs/>
          <w:color w:val="auto"/>
          <w:sz w:val="32"/>
          <w:szCs w:val="32"/>
        </w:rPr>
      </w:pPr>
      <w:r>
        <w:rPr>
          <w:rStyle w:val="14"/>
          <w:rFonts w:hint="eastAsia" w:ascii="仿宋_GB2312" w:hAnsi="仿宋" w:eastAsia="仿宋_GB2312"/>
          <w:bCs/>
          <w:color w:val="auto"/>
          <w:sz w:val="32"/>
          <w:szCs w:val="32"/>
        </w:rPr>
        <w:t>1</w:t>
      </w:r>
      <w:r>
        <w:rPr>
          <w:rStyle w:val="14"/>
          <w:rFonts w:hint="eastAsia" w:ascii="仿宋_GB2312" w:hAnsi="仿宋" w:eastAsia="仿宋_GB2312"/>
          <w:bCs/>
          <w:color w:val="auto"/>
          <w:sz w:val="32"/>
          <w:szCs w:val="32"/>
          <w:lang w:val="en-US" w:eastAsia="zh-CN"/>
        </w:rPr>
        <w:t>1</w:t>
      </w:r>
      <w:r>
        <w:rPr>
          <w:rStyle w:val="14"/>
          <w:rFonts w:hint="eastAsia" w:ascii="仿宋_GB2312" w:hAnsi="仿宋" w:eastAsia="仿宋_GB2312"/>
          <w:bCs/>
          <w:color w:val="auto"/>
          <w:sz w:val="32"/>
          <w:szCs w:val="32"/>
        </w:rPr>
        <w:t>.</w:t>
      </w:r>
      <w:r>
        <w:rPr>
          <w:rStyle w:val="14"/>
          <w:rFonts w:hint="eastAsia" w:ascii="仿宋_GB2312" w:eastAsia="仿宋_GB2312"/>
          <w:color w:val="auto"/>
          <w:sz w:val="32"/>
          <w:szCs w:val="32"/>
        </w:rPr>
        <w:t>农林水（类）农业（款）病虫害控制（项）:</w:t>
      </w:r>
      <w:r>
        <w:rPr>
          <w:rFonts w:hint="eastAsia" w:ascii="仿宋_GB2312" w:eastAsia="仿宋_GB2312"/>
          <w:bCs/>
          <w:color w:val="auto"/>
          <w:sz w:val="32"/>
          <w:szCs w:val="32"/>
        </w:rPr>
        <w:t xml:space="preserve">支出决算为 </w:t>
      </w:r>
      <w:r>
        <w:rPr>
          <w:rFonts w:hint="eastAsia" w:ascii="仿宋_GB2312" w:eastAsia="仿宋_GB2312"/>
          <w:bCs/>
          <w:color w:val="auto"/>
          <w:sz w:val="32"/>
          <w:szCs w:val="32"/>
          <w:lang w:val="en-US" w:eastAsia="zh-CN"/>
        </w:rPr>
        <w:t>27.59</w:t>
      </w:r>
      <w:r>
        <w:rPr>
          <w:rFonts w:hint="eastAsia" w:ascii="仿宋_GB2312" w:eastAsia="仿宋_GB2312"/>
          <w:bCs/>
          <w:color w:val="auto"/>
          <w:sz w:val="32"/>
          <w:szCs w:val="32"/>
        </w:rPr>
        <w:t>万元，完成预算</w:t>
      </w:r>
      <w:r>
        <w:rPr>
          <w:rFonts w:hint="eastAsia" w:ascii="仿宋_GB2312" w:eastAsia="仿宋_GB2312"/>
          <w:bCs/>
          <w:color w:val="auto"/>
          <w:sz w:val="32"/>
          <w:szCs w:val="32"/>
          <w:lang w:val="en-US" w:eastAsia="zh-CN"/>
        </w:rPr>
        <w:t>100</w:t>
      </w:r>
      <w:r>
        <w:rPr>
          <w:rFonts w:hint="eastAsia" w:ascii="仿宋_GB2312" w:eastAsia="仿宋_GB2312"/>
          <w:bCs/>
          <w:color w:val="auto"/>
          <w:sz w:val="32"/>
          <w:szCs w:val="32"/>
        </w:rPr>
        <w:t xml:space="preserve"> %。</w:t>
      </w:r>
    </w:p>
    <w:p>
      <w:pPr>
        <w:spacing w:line="600" w:lineRule="exact"/>
        <w:ind w:firstLine="642" w:firstLineChars="200"/>
        <w:rPr>
          <w:rFonts w:ascii="仿宋_GB2312" w:eastAsia="仿宋_GB2312"/>
          <w:color w:val="auto"/>
          <w:sz w:val="32"/>
          <w:szCs w:val="32"/>
        </w:rPr>
      </w:pPr>
      <w:r>
        <w:rPr>
          <w:rStyle w:val="14"/>
          <w:rFonts w:hint="eastAsia" w:ascii="仿宋_GB2312" w:hAnsi="仿宋" w:eastAsia="仿宋_GB2312"/>
          <w:bCs/>
          <w:color w:val="auto"/>
          <w:sz w:val="32"/>
          <w:szCs w:val="32"/>
        </w:rPr>
        <w:t>1</w:t>
      </w:r>
      <w:r>
        <w:rPr>
          <w:rStyle w:val="14"/>
          <w:rFonts w:hint="eastAsia" w:ascii="仿宋_GB2312" w:hAnsi="仿宋" w:eastAsia="仿宋_GB2312"/>
          <w:bCs/>
          <w:color w:val="auto"/>
          <w:sz w:val="32"/>
          <w:szCs w:val="32"/>
          <w:lang w:val="en-US" w:eastAsia="zh-CN"/>
        </w:rPr>
        <w:t>2</w:t>
      </w:r>
      <w:r>
        <w:rPr>
          <w:rStyle w:val="14"/>
          <w:rFonts w:hint="eastAsia" w:ascii="仿宋_GB2312" w:hAnsi="仿宋" w:eastAsia="仿宋_GB2312"/>
          <w:bCs/>
          <w:color w:val="auto"/>
          <w:sz w:val="32"/>
          <w:szCs w:val="32"/>
        </w:rPr>
        <w:t>.</w:t>
      </w:r>
      <w:r>
        <w:rPr>
          <w:rStyle w:val="14"/>
          <w:rFonts w:hint="eastAsia" w:ascii="仿宋_GB2312" w:eastAsia="仿宋_GB2312"/>
          <w:color w:val="auto"/>
          <w:sz w:val="32"/>
          <w:szCs w:val="32"/>
        </w:rPr>
        <w:t>农林水（类）农业（款）农产品质量安全（项）:</w:t>
      </w:r>
      <w:r>
        <w:rPr>
          <w:rFonts w:hint="eastAsia" w:ascii="仿宋_GB2312" w:eastAsia="仿宋_GB2312"/>
          <w:bCs/>
          <w:color w:val="auto"/>
          <w:sz w:val="32"/>
          <w:szCs w:val="32"/>
        </w:rPr>
        <w:t xml:space="preserve">支出决算为 </w:t>
      </w:r>
      <w:r>
        <w:rPr>
          <w:rFonts w:hint="eastAsia" w:ascii="仿宋_GB2312" w:eastAsia="仿宋_GB2312"/>
          <w:bCs/>
          <w:color w:val="auto"/>
          <w:sz w:val="32"/>
          <w:szCs w:val="32"/>
          <w:lang w:val="en-US" w:eastAsia="zh-CN"/>
        </w:rPr>
        <w:t>352.46</w:t>
      </w:r>
      <w:r>
        <w:rPr>
          <w:rFonts w:hint="eastAsia" w:ascii="仿宋_GB2312" w:eastAsia="仿宋_GB2312"/>
          <w:bCs/>
          <w:color w:val="auto"/>
          <w:sz w:val="32"/>
          <w:szCs w:val="32"/>
        </w:rPr>
        <w:t xml:space="preserve">万元，完成预算 </w:t>
      </w:r>
      <w:r>
        <w:rPr>
          <w:rFonts w:hint="eastAsia" w:ascii="仿宋_GB2312" w:eastAsia="仿宋_GB2312"/>
          <w:bCs/>
          <w:color w:val="auto"/>
          <w:sz w:val="32"/>
          <w:szCs w:val="32"/>
          <w:lang w:val="en-US" w:eastAsia="zh-CN"/>
        </w:rPr>
        <w:t>100</w:t>
      </w:r>
      <w:r>
        <w:rPr>
          <w:rFonts w:hint="eastAsia" w:ascii="仿宋_GB2312" w:eastAsia="仿宋_GB2312"/>
          <w:bCs/>
          <w:color w:val="auto"/>
          <w:sz w:val="32"/>
          <w:szCs w:val="32"/>
        </w:rPr>
        <w:t xml:space="preserve"> %。</w:t>
      </w:r>
    </w:p>
    <w:p>
      <w:pPr>
        <w:spacing w:line="600" w:lineRule="exact"/>
        <w:ind w:firstLine="642" w:firstLineChars="200"/>
        <w:rPr>
          <w:rFonts w:ascii="仿宋_GB2312" w:eastAsia="仿宋_GB2312"/>
          <w:color w:val="auto"/>
          <w:sz w:val="32"/>
          <w:szCs w:val="32"/>
        </w:rPr>
      </w:pP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w:t>
      </w:r>
      <w:r>
        <w:rPr>
          <w:rStyle w:val="14"/>
          <w:rFonts w:hint="eastAsia" w:ascii="仿宋_GB2312" w:hAnsi="仿宋_GB2312" w:eastAsia="仿宋_GB2312" w:cs="仿宋_GB2312"/>
          <w:color w:val="auto"/>
          <w:sz w:val="32"/>
          <w:szCs w:val="32"/>
        </w:rPr>
        <w:t>农林水（类）农业（款）防灾减实（项）:</w:t>
      </w:r>
      <w:r>
        <w:rPr>
          <w:rFonts w:hint="eastAsia" w:ascii="仿宋_GB2312" w:hAnsi="仿宋_GB2312" w:eastAsia="仿宋_GB2312" w:cs="仿宋_GB2312"/>
          <w:bCs/>
          <w:color w:val="auto"/>
          <w:sz w:val="32"/>
          <w:szCs w:val="32"/>
        </w:rPr>
        <w:t xml:space="preserve">支出决算为 </w:t>
      </w:r>
      <w:r>
        <w:rPr>
          <w:rFonts w:hint="eastAsia" w:ascii="仿宋_GB2312" w:hAnsi="仿宋_GB2312" w:eastAsia="仿宋_GB2312" w:cs="仿宋_GB2312"/>
          <w:bCs/>
          <w:color w:val="auto"/>
          <w:sz w:val="32"/>
          <w:szCs w:val="32"/>
          <w:lang w:val="en-US" w:eastAsia="zh-CN"/>
        </w:rPr>
        <w:t>32.79</w:t>
      </w:r>
      <w:r>
        <w:rPr>
          <w:rFonts w:hint="eastAsia" w:ascii="仿宋_GB2312" w:hAnsi="仿宋_GB2312" w:eastAsia="仿宋_GB2312" w:cs="仿宋_GB2312"/>
          <w:bCs/>
          <w:color w:val="auto"/>
          <w:sz w:val="32"/>
          <w:szCs w:val="32"/>
        </w:rPr>
        <w:t>元，完成预算</w:t>
      </w:r>
      <w:r>
        <w:rPr>
          <w:rFonts w:hint="eastAsia" w:ascii="仿宋_GB2312" w:hAnsi="仿宋_GB2312" w:eastAsia="仿宋_GB2312" w:cs="仿宋_GB2312"/>
          <w:bCs/>
          <w:color w:val="auto"/>
          <w:sz w:val="32"/>
          <w:szCs w:val="32"/>
          <w:lang w:val="en-US" w:eastAsia="zh-CN"/>
        </w:rPr>
        <w:t>100</w:t>
      </w:r>
      <w:r>
        <w:rPr>
          <w:rFonts w:hint="eastAsia" w:ascii="仿宋_GB2312" w:hAnsi="仿宋_GB2312" w:eastAsia="仿宋_GB2312" w:cs="仿宋_GB2312"/>
          <w:bCs/>
          <w:color w:val="auto"/>
          <w:sz w:val="32"/>
          <w:szCs w:val="32"/>
        </w:rPr>
        <w:t>%。</w:t>
      </w:r>
    </w:p>
    <w:p>
      <w:pPr>
        <w:spacing w:line="600" w:lineRule="exact"/>
        <w:ind w:firstLine="642" w:firstLineChars="200"/>
        <w:rPr>
          <w:rFonts w:ascii="仿宋_GB2312" w:hAnsi="仿宋_GB2312" w:eastAsia="仿宋_GB2312" w:cs="仿宋_GB2312"/>
          <w:bCs/>
          <w:color w:val="auto"/>
          <w:sz w:val="32"/>
          <w:szCs w:val="32"/>
        </w:rPr>
      </w:pPr>
      <w:r>
        <w:rPr>
          <w:rStyle w:val="14"/>
          <w:rFonts w:hint="eastAsia" w:ascii="仿宋_GB2312" w:hAnsi="仿宋_GB2312" w:eastAsia="仿宋_GB2312" w:cs="仿宋_GB2312"/>
          <w:color w:val="auto"/>
          <w:sz w:val="32"/>
          <w:szCs w:val="32"/>
        </w:rPr>
        <w:t>1</w:t>
      </w:r>
      <w:r>
        <w:rPr>
          <w:rStyle w:val="14"/>
          <w:rFonts w:hint="eastAsia" w:ascii="仿宋_GB2312" w:hAnsi="仿宋_GB2312" w:eastAsia="仿宋_GB2312" w:cs="仿宋_GB2312"/>
          <w:color w:val="auto"/>
          <w:sz w:val="32"/>
          <w:szCs w:val="32"/>
          <w:lang w:val="en-US" w:eastAsia="zh-CN"/>
        </w:rPr>
        <w:t>4</w:t>
      </w:r>
      <w:r>
        <w:rPr>
          <w:rStyle w:val="14"/>
          <w:rFonts w:hint="eastAsia" w:ascii="仿宋_GB2312" w:hAnsi="仿宋_GB2312" w:eastAsia="仿宋_GB2312" w:cs="仿宋_GB2312"/>
          <w:color w:val="auto"/>
          <w:sz w:val="32"/>
          <w:szCs w:val="32"/>
        </w:rPr>
        <w:t>.农林水（类）农业（款）其他农业支出（项）:</w:t>
      </w:r>
      <w:r>
        <w:rPr>
          <w:rFonts w:hint="eastAsia" w:ascii="仿宋_GB2312" w:hAnsi="仿宋_GB2312" w:eastAsia="仿宋_GB2312" w:cs="仿宋_GB2312"/>
          <w:bCs/>
          <w:color w:val="auto"/>
          <w:sz w:val="32"/>
          <w:szCs w:val="32"/>
        </w:rPr>
        <w:t>支出决算为</w:t>
      </w:r>
      <w:r>
        <w:rPr>
          <w:rFonts w:hint="eastAsia" w:ascii="仿宋_GB2312" w:hAnsi="仿宋_GB2312" w:eastAsia="仿宋_GB2312" w:cs="仿宋_GB2312"/>
          <w:bCs/>
          <w:color w:val="auto"/>
          <w:sz w:val="32"/>
          <w:szCs w:val="32"/>
          <w:lang w:val="en-US" w:eastAsia="zh-CN"/>
        </w:rPr>
        <w:t>593.46</w:t>
      </w:r>
      <w:r>
        <w:rPr>
          <w:rFonts w:hint="eastAsia" w:ascii="仿宋_GB2312" w:hAnsi="仿宋_GB2312" w:eastAsia="仿宋_GB2312" w:cs="仿宋_GB2312"/>
          <w:bCs/>
          <w:color w:val="auto"/>
          <w:sz w:val="32"/>
          <w:szCs w:val="32"/>
        </w:rPr>
        <w:t>万元，完成预算</w:t>
      </w:r>
      <w:r>
        <w:rPr>
          <w:rFonts w:hint="eastAsia" w:ascii="仿宋_GB2312" w:hAnsi="仿宋_GB2312" w:eastAsia="仿宋_GB2312" w:cs="仿宋_GB2312"/>
          <w:bCs/>
          <w:color w:val="auto"/>
          <w:sz w:val="32"/>
          <w:szCs w:val="32"/>
          <w:lang w:val="en-US" w:eastAsia="zh-CN"/>
        </w:rPr>
        <w:t>100</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w:t>
      </w:r>
    </w:p>
    <w:p>
      <w:pPr>
        <w:spacing w:line="600" w:lineRule="exact"/>
        <w:ind w:firstLine="642" w:firstLineChars="200"/>
        <w:rPr>
          <w:rFonts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1</w:t>
      </w:r>
      <w:r>
        <w:rPr>
          <w:rStyle w:val="14"/>
          <w:rFonts w:hint="eastAsia" w:ascii="仿宋_GB2312" w:hAnsi="仿宋_GB2312" w:eastAsia="仿宋_GB2312" w:cs="仿宋_GB2312"/>
          <w:color w:val="auto"/>
          <w:sz w:val="32"/>
          <w:szCs w:val="32"/>
          <w:lang w:val="en-US" w:eastAsia="zh-CN"/>
        </w:rPr>
        <w:t>5</w:t>
      </w:r>
      <w:r>
        <w:rPr>
          <w:rStyle w:val="14"/>
          <w:rFonts w:hint="eastAsia" w:ascii="仿宋_GB2312" w:hAnsi="仿宋_GB2312" w:eastAsia="仿宋_GB2312" w:cs="仿宋_GB2312"/>
          <w:color w:val="auto"/>
          <w:sz w:val="32"/>
          <w:szCs w:val="32"/>
        </w:rPr>
        <w:t>.农林水（类）</w:t>
      </w:r>
      <w:r>
        <w:rPr>
          <w:rStyle w:val="14"/>
          <w:rFonts w:hint="eastAsia" w:ascii="仿宋_GB2312" w:hAnsi="仿宋_GB2312" w:eastAsia="仿宋_GB2312" w:cs="仿宋_GB2312"/>
          <w:color w:val="auto"/>
          <w:sz w:val="32"/>
          <w:szCs w:val="32"/>
          <w:lang w:eastAsia="zh-CN"/>
        </w:rPr>
        <w:t>扶贫</w:t>
      </w:r>
      <w:r>
        <w:rPr>
          <w:rStyle w:val="14"/>
          <w:rFonts w:hint="eastAsia" w:ascii="仿宋_GB2312" w:hAnsi="仿宋_GB2312" w:eastAsia="仿宋_GB2312" w:cs="仿宋_GB2312"/>
          <w:color w:val="auto"/>
          <w:sz w:val="32"/>
          <w:szCs w:val="32"/>
        </w:rPr>
        <w:t>（款）其他</w:t>
      </w:r>
      <w:r>
        <w:rPr>
          <w:rStyle w:val="14"/>
          <w:rFonts w:hint="eastAsia" w:ascii="仿宋_GB2312" w:hAnsi="仿宋_GB2312" w:eastAsia="仿宋_GB2312" w:cs="仿宋_GB2312"/>
          <w:color w:val="auto"/>
          <w:sz w:val="32"/>
          <w:szCs w:val="32"/>
          <w:lang w:eastAsia="zh-CN"/>
        </w:rPr>
        <w:t>扶贫支出</w:t>
      </w:r>
      <w:r>
        <w:rPr>
          <w:rStyle w:val="14"/>
          <w:rFonts w:hint="eastAsia" w:ascii="仿宋_GB2312" w:hAnsi="仿宋_GB2312" w:eastAsia="仿宋_GB2312" w:cs="仿宋_GB2312"/>
          <w:color w:val="auto"/>
          <w:sz w:val="32"/>
          <w:szCs w:val="32"/>
        </w:rPr>
        <w:t>（项）:</w:t>
      </w:r>
      <w:r>
        <w:rPr>
          <w:rFonts w:hint="eastAsia" w:ascii="仿宋_GB2312" w:hAnsi="仿宋_GB2312" w:eastAsia="仿宋_GB2312" w:cs="仿宋_GB2312"/>
          <w:bCs/>
          <w:color w:val="auto"/>
          <w:sz w:val="32"/>
          <w:szCs w:val="32"/>
        </w:rPr>
        <w:t>支出决算为</w:t>
      </w:r>
      <w:r>
        <w:rPr>
          <w:rFonts w:hint="eastAsia" w:ascii="仿宋_GB2312" w:hAnsi="仿宋_GB2312" w:eastAsia="仿宋_GB2312" w:cs="仿宋_GB2312"/>
          <w:bCs/>
          <w:color w:val="auto"/>
          <w:sz w:val="32"/>
          <w:szCs w:val="32"/>
          <w:lang w:val="en-US" w:eastAsia="zh-CN"/>
        </w:rPr>
        <w:t>4000</w:t>
      </w:r>
      <w:r>
        <w:rPr>
          <w:rFonts w:hint="eastAsia" w:ascii="仿宋_GB2312" w:hAnsi="仿宋_GB2312" w:eastAsia="仿宋_GB2312" w:cs="仿宋_GB2312"/>
          <w:bCs/>
          <w:color w:val="auto"/>
          <w:sz w:val="32"/>
          <w:szCs w:val="32"/>
        </w:rPr>
        <w:t>万元，完成预算100%。</w:t>
      </w:r>
    </w:p>
    <w:p>
      <w:pPr>
        <w:spacing w:line="60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6.</w:t>
      </w:r>
      <w:r>
        <w:rPr>
          <w:rStyle w:val="14"/>
          <w:rFonts w:hint="eastAsia" w:ascii="仿宋_GB2312" w:hAnsi="仿宋_GB2312" w:eastAsia="仿宋_GB2312" w:cs="仿宋_GB2312"/>
          <w:color w:val="auto"/>
          <w:sz w:val="32"/>
          <w:szCs w:val="32"/>
        </w:rPr>
        <w:t>农林水（类）农业综合开发（款）机构运行（项）:</w:t>
      </w:r>
      <w:r>
        <w:rPr>
          <w:rFonts w:hint="eastAsia" w:ascii="仿宋_GB2312" w:hAnsi="仿宋_GB2312" w:eastAsia="仿宋_GB2312" w:cs="仿宋_GB2312"/>
          <w:bCs/>
          <w:color w:val="auto"/>
          <w:sz w:val="32"/>
          <w:szCs w:val="32"/>
        </w:rPr>
        <w:t>支出决算为</w:t>
      </w:r>
      <w:r>
        <w:rPr>
          <w:rFonts w:hint="eastAsia" w:ascii="仿宋_GB2312" w:hAnsi="仿宋_GB2312" w:eastAsia="仿宋_GB2312" w:cs="仿宋_GB2312"/>
          <w:bCs/>
          <w:color w:val="auto"/>
          <w:sz w:val="32"/>
          <w:szCs w:val="32"/>
          <w:lang w:val="en-US" w:eastAsia="zh-CN"/>
        </w:rPr>
        <w:t>0.34</w:t>
      </w:r>
      <w:r>
        <w:rPr>
          <w:rFonts w:hint="eastAsia" w:ascii="仿宋_GB2312" w:hAnsi="仿宋_GB2312" w:eastAsia="仿宋_GB2312" w:cs="仿宋_GB2312"/>
          <w:bCs/>
          <w:color w:val="auto"/>
          <w:sz w:val="32"/>
          <w:szCs w:val="32"/>
        </w:rPr>
        <w:t>万元，完成预算100%。</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color w:val="auto"/>
          <w:sz w:val="32"/>
          <w:szCs w:val="32"/>
        </w:rPr>
        <w:t>农林水（类）其他农林水（款）其他农水支出（项）:</w:t>
      </w:r>
      <w:r>
        <w:rPr>
          <w:rStyle w:val="14"/>
          <w:rFonts w:hint="eastAsia" w:ascii="仿宋_GB2312" w:hAnsi="仿宋_GB2312" w:eastAsia="仿宋_GB2312" w:cs="仿宋_GB2312"/>
          <w:b w:val="0"/>
          <w:color w:val="auto"/>
          <w:sz w:val="32"/>
          <w:szCs w:val="32"/>
        </w:rPr>
        <w:t>支</w:t>
      </w:r>
      <w:r>
        <w:rPr>
          <w:rFonts w:hint="eastAsia" w:ascii="仿宋_GB2312" w:hAnsi="仿宋_GB2312" w:eastAsia="仿宋_GB2312" w:cs="仿宋_GB2312"/>
          <w:bCs/>
          <w:color w:val="auto"/>
          <w:sz w:val="32"/>
          <w:szCs w:val="32"/>
        </w:rPr>
        <w:t>出决算为</w:t>
      </w:r>
      <w:r>
        <w:rPr>
          <w:rFonts w:hint="eastAsia" w:ascii="仿宋_GB2312" w:hAnsi="仿宋_GB2312" w:eastAsia="仿宋_GB2312" w:cs="仿宋_GB2312"/>
          <w:bCs/>
          <w:color w:val="auto"/>
          <w:sz w:val="32"/>
          <w:szCs w:val="32"/>
          <w:lang w:val="en-US" w:eastAsia="zh-CN"/>
        </w:rPr>
        <w:t>14.5</w:t>
      </w:r>
      <w:r>
        <w:rPr>
          <w:rFonts w:hint="eastAsia" w:ascii="仿宋_GB2312" w:hAnsi="仿宋_GB2312" w:eastAsia="仿宋_GB2312" w:cs="仿宋_GB2312"/>
          <w:bCs/>
          <w:color w:val="auto"/>
          <w:sz w:val="32"/>
          <w:szCs w:val="32"/>
        </w:rPr>
        <w:t>万元，完成预算100%。</w:t>
      </w:r>
    </w:p>
    <w:p>
      <w:pPr>
        <w:spacing w:line="60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color w:val="auto"/>
          <w:sz w:val="32"/>
          <w:szCs w:val="32"/>
          <w:lang w:eastAsia="zh-CN"/>
        </w:rPr>
        <w:t>其他</w:t>
      </w:r>
      <w:r>
        <w:rPr>
          <w:rStyle w:val="14"/>
          <w:rFonts w:hint="eastAsia" w:ascii="仿宋_GB2312" w:hAnsi="仿宋_GB2312" w:eastAsia="仿宋_GB2312" w:cs="仿宋_GB2312"/>
          <w:color w:val="auto"/>
          <w:sz w:val="32"/>
          <w:szCs w:val="32"/>
        </w:rPr>
        <w:t>（类）其他</w:t>
      </w:r>
      <w:r>
        <w:rPr>
          <w:rStyle w:val="14"/>
          <w:rFonts w:hint="eastAsia" w:ascii="仿宋_GB2312" w:hAnsi="仿宋_GB2312" w:eastAsia="仿宋_GB2312" w:cs="仿宋_GB2312"/>
          <w:color w:val="auto"/>
          <w:sz w:val="32"/>
          <w:szCs w:val="32"/>
          <w:lang w:eastAsia="zh-CN"/>
        </w:rPr>
        <w:t>支出</w:t>
      </w:r>
      <w:r>
        <w:rPr>
          <w:rStyle w:val="14"/>
          <w:rFonts w:hint="eastAsia" w:ascii="仿宋_GB2312" w:hAnsi="仿宋_GB2312" w:eastAsia="仿宋_GB2312" w:cs="仿宋_GB2312"/>
          <w:color w:val="auto"/>
          <w:sz w:val="32"/>
          <w:szCs w:val="32"/>
        </w:rPr>
        <w:t>（款）其他</w:t>
      </w:r>
      <w:r>
        <w:rPr>
          <w:rStyle w:val="14"/>
          <w:rFonts w:hint="eastAsia" w:ascii="仿宋_GB2312" w:hAnsi="仿宋_GB2312" w:eastAsia="仿宋_GB2312" w:cs="仿宋_GB2312"/>
          <w:color w:val="auto"/>
          <w:sz w:val="32"/>
          <w:szCs w:val="32"/>
          <w:lang w:eastAsia="zh-CN"/>
        </w:rPr>
        <w:t>支出</w:t>
      </w:r>
      <w:r>
        <w:rPr>
          <w:rStyle w:val="14"/>
          <w:rFonts w:hint="eastAsia" w:ascii="仿宋_GB2312" w:hAnsi="仿宋_GB2312" w:eastAsia="仿宋_GB2312" w:cs="仿宋_GB2312"/>
          <w:color w:val="auto"/>
          <w:sz w:val="32"/>
          <w:szCs w:val="32"/>
        </w:rPr>
        <w:t>（项）:</w:t>
      </w:r>
      <w:r>
        <w:rPr>
          <w:rStyle w:val="14"/>
          <w:rFonts w:hint="eastAsia" w:ascii="仿宋_GB2312" w:hAnsi="仿宋_GB2312" w:eastAsia="仿宋_GB2312" w:cs="仿宋_GB2312"/>
          <w:b w:val="0"/>
          <w:color w:val="auto"/>
          <w:sz w:val="32"/>
          <w:szCs w:val="32"/>
        </w:rPr>
        <w:t>支</w:t>
      </w:r>
      <w:r>
        <w:rPr>
          <w:rFonts w:hint="eastAsia" w:ascii="仿宋_GB2312" w:hAnsi="仿宋_GB2312" w:eastAsia="仿宋_GB2312" w:cs="仿宋_GB2312"/>
          <w:bCs/>
          <w:color w:val="auto"/>
          <w:sz w:val="32"/>
          <w:szCs w:val="32"/>
        </w:rPr>
        <w:t>出决算为</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万元，完成预算100%。</w:t>
      </w:r>
    </w:p>
    <w:p>
      <w:pPr>
        <w:spacing w:line="60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Style w:val="14"/>
          <w:rFonts w:hint="eastAsia" w:ascii="仿宋_GB2312" w:hAnsi="仿宋_GB2312" w:eastAsia="仿宋_GB2312" w:cs="仿宋_GB2312"/>
          <w:bCs/>
          <w:color w:val="000000" w:themeColor="text1"/>
          <w:sz w:val="32"/>
          <w:szCs w:val="32"/>
          <w:lang w:val="en-US" w:eastAsia="zh-CN"/>
          <w14:textFill>
            <w14:solidFill>
              <w14:schemeClr w14:val="tx1"/>
            </w14:solidFill>
          </w14:textFill>
        </w:rPr>
        <w:t>19</w:t>
      </w:r>
      <w:r>
        <w:rPr>
          <w:rStyle w:val="14"/>
          <w:rFonts w:hint="eastAsia" w:ascii="仿宋_GB2312" w:hAnsi="仿宋_GB2312" w:eastAsia="仿宋_GB2312" w:cs="仿宋_GB2312"/>
          <w:bCs/>
          <w:color w:val="000000" w:themeColor="text1"/>
          <w:sz w:val="32"/>
          <w:szCs w:val="32"/>
          <w14:textFill>
            <w14:solidFill>
              <w14:schemeClr w14:val="tx1"/>
            </w14:solidFill>
          </w14:textFill>
        </w:rPr>
        <w:t>.住房保障（类）</w:t>
      </w:r>
      <w:r>
        <w:rPr>
          <w:rStyle w:val="14"/>
          <w:rFonts w:hint="eastAsia" w:ascii="仿宋_GB2312" w:hAnsi="仿宋_GB2312" w:eastAsia="仿宋_GB2312" w:cs="仿宋_GB2312"/>
          <w:color w:val="000000" w:themeColor="text1"/>
          <w:sz w:val="32"/>
          <w:szCs w:val="32"/>
          <w14:textFill>
            <w14:solidFill>
              <w14:schemeClr w14:val="tx1"/>
            </w14:solidFill>
          </w14:textFill>
        </w:rPr>
        <w:t>住房改革</w:t>
      </w:r>
      <w:r>
        <w:rPr>
          <w:rStyle w:val="14"/>
          <w:rFonts w:hint="eastAsia" w:ascii="仿宋_GB2312" w:hAnsi="仿宋_GB2312" w:eastAsia="仿宋_GB2312" w:cs="仿宋_GB2312"/>
          <w:bCs/>
          <w:color w:val="000000" w:themeColor="text1"/>
          <w:sz w:val="32"/>
          <w:szCs w:val="32"/>
          <w14:textFill>
            <w14:solidFill>
              <w14:schemeClr w14:val="tx1"/>
            </w14:solidFill>
          </w14:textFill>
        </w:rPr>
        <w:t>（款）</w:t>
      </w:r>
      <w:r>
        <w:rPr>
          <w:rStyle w:val="14"/>
          <w:rFonts w:hint="eastAsia" w:ascii="仿宋_GB2312" w:hAnsi="仿宋_GB2312" w:eastAsia="仿宋_GB2312" w:cs="仿宋_GB2312"/>
          <w:color w:val="000000" w:themeColor="text1"/>
          <w:sz w:val="32"/>
          <w:szCs w:val="32"/>
          <w14:textFill>
            <w14:solidFill>
              <w14:schemeClr w14:val="tx1"/>
            </w14:solidFill>
          </w14:textFill>
        </w:rPr>
        <w:t>住房公积金</w:t>
      </w:r>
      <w:r>
        <w:rPr>
          <w:rStyle w:val="14"/>
          <w:rFonts w:hint="eastAsia" w:ascii="仿宋_GB2312" w:hAnsi="仿宋_GB2312" w:eastAsia="仿宋_GB2312" w:cs="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w:t>
      </w:r>
      <w:r>
        <w:rPr>
          <w:rStyle w:val="14"/>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225.75</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tabs>
          <w:tab w:val="right" w:pos="8306"/>
        </w:tabs>
        <w:spacing w:line="600" w:lineRule="exact"/>
        <w:ind w:firstLine="640"/>
        <w:outlineLvl w:val="1"/>
        <w:rPr>
          <w:rStyle w:val="25"/>
        </w:rPr>
      </w:pPr>
      <w:bookmarkStart w:id="49" w:name="_Toc15377214"/>
      <w:bookmarkStart w:id="50" w:name="_Toc15396608"/>
      <w:bookmarkStart w:id="51" w:name="_Toc28401"/>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9"/>
      <w:bookmarkEnd w:id="50"/>
      <w:bookmarkEnd w:id="5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9年一般公共预算财政拨款基本支出2830.14万元，其中：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2482.92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347.23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52" w:name="_Toc15396609"/>
      <w:bookmarkStart w:id="53" w:name="_Toc25681"/>
      <w:bookmarkStart w:id="54"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52"/>
      <w:bookmarkEnd w:id="53"/>
      <w:bookmarkEnd w:id="54"/>
    </w:p>
    <w:p>
      <w:pPr>
        <w:spacing w:line="600" w:lineRule="exact"/>
        <w:ind w:firstLine="640"/>
        <w:outlineLvl w:val="9"/>
        <w:rPr>
          <w:rFonts w:ascii="仿宋" w:hAnsi="仿宋" w:eastAsia="仿宋"/>
          <w:b/>
          <w:color w:val="000000"/>
          <w:sz w:val="32"/>
          <w:szCs w:val="32"/>
        </w:rPr>
      </w:pPr>
      <w:bookmarkStart w:id="55" w:name="_Toc15377216"/>
      <w:r>
        <w:rPr>
          <w:rFonts w:hint="eastAsia" w:ascii="仿宋" w:hAnsi="仿宋" w:eastAsia="仿宋"/>
          <w:b/>
          <w:color w:val="000000"/>
          <w:sz w:val="32"/>
          <w:szCs w:val="32"/>
        </w:rPr>
        <w:t>（一）“三公”经费财政拨款支出决算总体情况说明</w:t>
      </w:r>
      <w:bookmarkEnd w:id="55"/>
    </w:p>
    <w:p>
      <w:pPr>
        <w:spacing w:line="600" w:lineRule="exact"/>
        <w:ind w:firstLine="640"/>
        <w:outlineLvl w:val="9"/>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9年“三公”经费财政拨款支出决算为49.98万元，完成预算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9"/>
        <w:rPr>
          <w:rFonts w:ascii="仿宋" w:hAnsi="仿宋" w:eastAsia="仿宋"/>
          <w:b/>
          <w:color w:val="000000"/>
          <w:sz w:val="32"/>
          <w:szCs w:val="32"/>
        </w:rPr>
      </w:pPr>
      <w:bookmarkStart w:id="56" w:name="_Toc15377217"/>
      <w:r>
        <w:rPr>
          <w:rFonts w:hint="eastAsia" w:ascii="仿宋" w:hAnsi="仿宋" w:eastAsia="仿宋"/>
          <w:b/>
          <w:color w:val="000000"/>
          <w:sz w:val="32"/>
          <w:szCs w:val="32"/>
        </w:rPr>
        <w:t>（二）“三公”经费财政拨款支出决算具体情况说明</w:t>
      </w:r>
      <w:bookmarkEnd w:id="56"/>
    </w:p>
    <w:p>
      <w:pPr>
        <w:spacing w:line="600" w:lineRule="exact"/>
        <w:ind w:firstLine="640"/>
        <w:outlineLvl w:val="9"/>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9年“三公”经费财政拨款支出决算中，因公出国（境）费支出决算5.89万元，占</w:t>
      </w:r>
      <w:r>
        <w:rPr>
          <w:rFonts w:hint="eastAsia" w:ascii="仿宋" w:hAnsi="仿宋" w:eastAsia="仿宋"/>
          <w:color w:val="000000"/>
          <w:sz w:val="32"/>
          <w:szCs w:val="32"/>
          <w:lang w:val="en-US" w:eastAsia="zh-CN"/>
        </w:rPr>
        <w:t>11.78</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；公务用车购置及运行维护费支出决算33.65万元，占</w:t>
      </w:r>
      <w:r>
        <w:rPr>
          <w:rFonts w:hint="eastAsia" w:ascii="仿宋" w:hAnsi="仿宋" w:eastAsia="仿宋"/>
          <w:color w:val="000000"/>
          <w:sz w:val="32"/>
          <w:szCs w:val="32"/>
          <w:lang w:val="en-US" w:eastAsia="zh-CN"/>
        </w:rPr>
        <w:t>67.33</w:t>
      </w:r>
      <w:r>
        <w:rPr>
          <w:rFonts w:ascii="仿宋" w:hAnsi="仿宋" w:eastAsia="仿宋"/>
          <w:color w:val="000000"/>
          <w:sz w:val="32"/>
          <w:szCs w:val="32"/>
        </w:rPr>
        <w:t>%</w:t>
      </w:r>
      <w:r>
        <w:rPr>
          <w:rFonts w:hint="eastAsia" w:ascii="仿宋" w:hAnsi="仿宋" w:eastAsia="仿宋"/>
          <w:color w:val="000000"/>
          <w:sz w:val="32"/>
          <w:szCs w:val="32"/>
        </w:rPr>
        <w:t>；公务接待费支出决算10.44万元，占</w:t>
      </w:r>
      <w:r>
        <w:rPr>
          <w:rFonts w:hint="eastAsia" w:ascii="仿宋" w:hAnsi="仿宋" w:eastAsia="仿宋"/>
          <w:color w:val="000000"/>
          <w:sz w:val="32"/>
          <w:szCs w:val="32"/>
          <w:lang w:val="en-US" w:eastAsia="zh-CN"/>
        </w:rPr>
        <w:t>20.88</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240" w:lineRule="auto"/>
        <w:ind w:firstLine="640"/>
        <w:rPr>
          <w:rFonts w:hint="eastAsia" w:ascii="仿宋_GB2312" w:eastAsia="仿宋_GB2312"/>
          <w:b/>
          <w:color w:val="000000"/>
          <w:sz w:val="32"/>
          <w:szCs w:val="32"/>
          <w:lang w:eastAsia="zh-CN"/>
        </w:rPr>
      </w:pPr>
      <w:r>
        <w:rPr>
          <w:rFonts w:hint="eastAsia" w:ascii="仿宋_GB2312" w:eastAsia="仿宋_GB2312"/>
          <w:b/>
          <w:color w:val="000000"/>
          <w:sz w:val="32"/>
          <w:szCs w:val="32"/>
          <w:lang w:eastAsia="zh-CN"/>
        </w:rPr>
        <w:drawing>
          <wp:inline distT="0" distB="0" distL="114300" distR="114300">
            <wp:extent cx="4584065" cy="2755265"/>
            <wp:effectExtent l="0" t="0" r="6985" b="6985"/>
            <wp:docPr id="7" name="图片 7" descr="图片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7"/>
                    <pic:cNvPicPr>
                      <a:picLocks noChangeAspect="true"/>
                    </pic:cNvPicPr>
                  </pic:nvPicPr>
                  <pic:blipFill>
                    <a:blip r:embed="rId12"/>
                    <a:stretch>
                      <a:fillRect/>
                    </a:stretch>
                  </pic:blipFill>
                  <pic:spPr>
                    <a:xfrm>
                      <a:off x="0" y="0"/>
                      <a:ext cx="4584065" cy="2755265"/>
                    </a:xfrm>
                    <a:prstGeom prst="rect">
                      <a:avLst/>
                    </a:prstGeom>
                  </pic:spPr>
                </pic:pic>
              </a:graphicData>
            </a:graphic>
          </wp:inline>
        </w:drawing>
      </w:r>
    </w:p>
    <w:p>
      <w:pPr>
        <w:spacing w:line="600" w:lineRule="exact"/>
        <w:ind w:firstLine="640"/>
        <w:rPr>
          <w:rFonts w:ascii="仿宋_GB2312" w:eastAsia="仿宋_GB2312"/>
          <w:b/>
          <w:color w:val="FF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5.89</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2.18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58.76</w:t>
      </w:r>
      <w:r>
        <w:rPr>
          <w:rFonts w:ascii="仿宋_GB2312" w:eastAsia="仿宋_GB2312"/>
          <w:color w:val="000000"/>
          <w:sz w:val="32"/>
          <w:szCs w:val="32"/>
        </w:rPr>
        <w:t>%</w:t>
      </w:r>
      <w:r>
        <w:rPr>
          <w:rFonts w:hint="eastAsia" w:ascii="仿宋_GB2312" w:eastAsia="仿宋_GB2312"/>
          <w:color w:val="000000"/>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color w:val="000000"/>
          <w:sz w:val="32"/>
          <w:szCs w:val="32"/>
        </w:rPr>
        <w:t>开支内容包括：2019年6月13日至6月22日，按照市委</w:t>
      </w:r>
      <w:r>
        <w:rPr>
          <w:rFonts w:ascii="Times New Roman" w:hAnsi="Times New Roman" w:eastAsia="仿宋_GB2312" w:cs="Times New Roman"/>
          <w:sz w:val="32"/>
          <w:szCs w:val="32"/>
        </w:rPr>
        <w:t>安排</w:t>
      </w:r>
      <w:r>
        <w:rPr>
          <w:rFonts w:hint="eastAsia" w:ascii="Times New Roman" w:hAnsi="Times New Roman" w:eastAsia="仿宋_GB2312" w:cs="Times New Roman"/>
          <w:sz w:val="32"/>
          <w:szCs w:val="32"/>
        </w:rPr>
        <w:t>部署</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在市委副书记冯发贵率领下，</w:t>
      </w:r>
      <w:r>
        <w:rPr>
          <w:rFonts w:ascii="Times New Roman" w:hAnsi="Times New Roman" w:eastAsia="仿宋_GB2312" w:cs="Times New Roman"/>
          <w:sz w:val="32"/>
          <w:szCs w:val="32"/>
        </w:rPr>
        <w:t>赴法国、荷兰、捷克考察学习了三个国家发展现代农业的经验做法，形成《赴法国、捷克、荷兰农业考察报告》等成果，并</w:t>
      </w:r>
      <w:r>
        <w:rPr>
          <w:rFonts w:hint="eastAsia" w:ascii="Times New Roman" w:hAnsi="Times New Roman" w:eastAsia="仿宋_GB2312" w:cs="Times New Roman"/>
          <w:sz w:val="32"/>
          <w:szCs w:val="32"/>
        </w:rPr>
        <w:t>结合全市</w:t>
      </w:r>
      <w:r>
        <w:rPr>
          <w:rFonts w:ascii="Times New Roman" w:hAnsi="Times New Roman" w:eastAsia="仿宋_GB2312" w:cs="Times New Roman"/>
          <w:sz w:val="32"/>
          <w:szCs w:val="32"/>
        </w:rPr>
        <w:t>实际情况，着重在适度规模经营、新型主体培育、体制机制创设上充分借鉴</w:t>
      </w:r>
      <w:r>
        <w:rPr>
          <w:rFonts w:hint="eastAsia" w:ascii="Times New Roman" w:hAnsi="Times New Roman" w:eastAsia="仿宋_GB2312" w:cs="Times New Roman"/>
          <w:sz w:val="32"/>
          <w:szCs w:val="32"/>
        </w:rPr>
        <w:t>国外</w:t>
      </w:r>
      <w:r>
        <w:rPr>
          <w:rFonts w:ascii="Times New Roman" w:hAnsi="Times New Roman" w:eastAsia="仿宋_GB2312" w:cs="Times New Roman"/>
          <w:sz w:val="32"/>
          <w:szCs w:val="32"/>
        </w:rPr>
        <w:t>成功经验做法，集中在遂宁高新区现代农业园区中探索创新。通过高标准规划园区，打造现代农业产业园；</w:t>
      </w:r>
      <w:r>
        <w:rPr>
          <w:rFonts w:hint="eastAsia" w:ascii="仿宋_GB2312" w:eastAsia="仿宋_GB2312" w:cs="仿宋_GB2312"/>
          <w:sz w:val="32"/>
          <w:szCs w:val="32"/>
        </w:rPr>
        <w:t>按照</w:t>
      </w:r>
      <w:r>
        <w:rPr>
          <w:rFonts w:ascii="仿宋_GB2312" w:eastAsia="仿宋_GB2312" w:cs="仿宋_GB2312"/>
          <w:sz w:val="32"/>
          <w:szCs w:val="32"/>
        </w:rPr>
        <w:t>适应性、独特性和市场性要求</w:t>
      </w:r>
      <w:r>
        <w:rPr>
          <w:rFonts w:hint="eastAsia" w:ascii="仿宋_GB2312" w:eastAsia="仿宋_GB2312" w:cs="仿宋_GB2312"/>
          <w:sz w:val="32"/>
          <w:szCs w:val="32"/>
        </w:rPr>
        <w:t>，</w:t>
      </w:r>
      <w:r>
        <w:rPr>
          <w:rFonts w:ascii="Times New Roman" w:hAnsi="Times New Roman" w:eastAsia="仿宋_GB2312" w:cs="Times New Roman"/>
          <w:sz w:val="32"/>
          <w:szCs w:val="32"/>
        </w:rPr>
        <w:t>高质量选择产业，</w:t>
      </w:r>
      <w:r>
        <w:rPr>
          <w:rFonts w:hint="eastAsia" w:ascii="Times New Roman" w:hAnsi="Times New Roman" w:eastAsia="仿宋_GB2312" w:cs="Times New Roman"/>
          <w:sz w:val="32"/>
          <w:szCs w:val="32"/>
        </w:rPr>
        <w:t>推进</w:t>
      </w:r>
      <w:r>
        <w:rPr>
          <w:rFonts w:ascii="Times New Roman" w:hAnsi="Times New Roman" w:eastAsia="仿宋_GB2312" w:cs="Times New Roman"/>
          <w:sz w:val="32"/>
          <w:szCs w:val="32"/>
        </w:rPr>
        <w:t>设施农业、智慧农业建设，发展绿色生态标准化农业；高水平招商引资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对接了</w:t>
      </w:r>
      <w:r>
        <w:rPr>
          <w:rFonts w:hint="eastAsia" w:ascii="Times New Roman" w:hAnsi="Times New Roman" w:eastAsia="仿宋_GB2312" w:cs="Times New Roman"/>
          <w:sz w:val="32"/>
          <w:szCs w:val="32"/>
        </w:rPr>
        <w:t>2个</w:t>
      </w:r>
      <w:r>
        <w:rPr>
          <w:rFonts w:ascii="Times New Roman" w:hAnsi="Times New Roman" w:eastAsia="仿宋_GB2312" w:cs="Times New Roman"/>
          <w:sz w:val="32"/>
          <w:szCs w:val="32"/>
        </w:rPr>
        <w:t>招商引资项目，</w:t>
      </w:r>
      <w:r>
        <w:rPr>
          <w:rFonts w:hint="eastAsia" w:ascii="Times New Roman" w:hAnsi="Times New Roman" w:eastAsia="仿宋_GB2312" w:cs="Times New Roman"/>
          <w:sz w:val="32"/>
          <w:szCs w:val="32"/>
        </w:rPr>
        <w:t>大力</w:t>
      </w:r>
      <w:r>
        <w:rPr>
          <w:rFonts w:ascii="Times New Roman" w:hAnsi="Times New Roman" w:eastAsia="仿宋_GB2312" w:cs="Times New Roman"/>
          <w:sz w:val="32"/>
          <w:szCs w:val="32"/>
        </w:rPr>
        <w:t>培育现代农业精品化项目；高品质培育品牌，深入拓展农产品营销市场；大力创新经营体系，激发农业农村发展动能；全方位强化保障，推进现代农业发展，遂宁高新区“黄菜油+524红苕现代农业园区”成功创建为2019年市级星级现代农业园区，保升镇宝凤村、会龙镇静严村成功创建为2019年省级实施乡村振兴战略</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示范村。</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33.65</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86.83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1.05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新增公务用车一辆。</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截至2019年12月底，单位共有公务用车</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2辆。</w:t>
      </w:r>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33.65</w:t>
      </w:r>
      <w:r>
        <w:rPr>
          <w:rFonts w:hint="eastAsia" w:ascii="仿宋_GB2312" w:eastAsia="仿宋_GB2312"/>
          <w:color w:val="000000"/>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要用于保障现代农业项目建设，农产品质量安全监督、检查、抽样，动、植物疫病防治，农业执法监督，农业污染源治理，非洲猪瘟防控，现代农业品牌推广等工作开展所需的公务用车燃料费、维修费、过路过桥费、保险费等支出。</w:t>
      </w:r>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10.44</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53.79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23.46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主要原因是严格执行中央八项制度，厉行勤俭节约，反对铺张浪费。落实公务接待审批控制制度、公务接待清单等制度，严格审批，严控标准，公务接待费用得到有效的控制。</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p>
    <w:p>
      <w:pPr>
        <w:spacing w:line="600" w:lineRule="exact"/>
        <w:ind w:firstLine="642" w:firstLineChars="200"/>
        <w:outlineLvl w:val="9"/>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10.44</w:t>
      </w:r>
      <w:r>
        <w:rPr>
          <w:rFonts w:hint="eastAsia" w:ascii="仿宋_GB2312" w:eastAsia="仿宋_GB2312"/>
          <w:color w:val="000000"/>
          <w:sz w:val="32"/>
          <w:szCs w:val="32"/>
        </w:rPr>
        <w:t>万元，主要用于</w:t>
      </w:r>
      <w:r>
        <w:rPr>
          <w:rFonts w:hint="eastAsia" w:ascii="仿宋_GB2312" w:hAnsi="仿宋_GB2312" w:eastAsia="仿宋_GB2312" w:cs="仿宋_GB2312"/>
          <w:color w:val="000000" w:themeColor="text1"/>
          <w:sz w:val="32"/>
          <w:szCs w:val="32"/>
          <w14:textFill>
            <w14:solidFill>
              <w14:schemeClr w14:val="tx1"/>
            </w14:solidFill>
          </w14:textFill>
        </w:rPr>
        <w:t>主要用于执行公务、开展业务活动开支的交通费、住宿费、用餐费等。国内公务接待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113</w:t>
      </w:r>
      <w:r>
        <w:rPr>
          <w:rFonts w:hint="eastAsia" w:ascii="仿宋_GB2312" w:hAnsi="仿宋_GB2312" w:eastAsia="仿宋_GB2312" w:cs="仿宋_GB2312"/>
          <w:color w:val="000000" w:themeColor="text1"/>
          <w:sz w:val="32"/>
          <w:szCs w:val="32"/>
          <w14:textFill>
            <w14:solidFill>
              <w14:schemeClr w14:val="tx1"/>
            </w14:solidFill>
          </w14:textFill>
        </w:rPr>
        <w:t>批次，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1006</w:t>
      </w:r>
      <w:r>
        <w:rPr>
          <w:rFonts w:hint="eastAsia" w:ascii="仿宋_GB2312" w:hAnsi="仿宋_GB2312" w:eastAsia="仿宋_GB2312" w:cs="仿宋_GB2312"/>
          <w:color w:val="000000" w:themeColor="text1"/>
          <w:sz w:val="32"/>
          <w:szCs w:val="32"/>
          <w14:textFill>
            <w14:solidFill>
              <w14:schemeClr w14:val="tx1"/>
            </w14:solidFill>
          </w14:textFill>
        </w:rPr>
        <w:t>人次（不包括陪同人员），共计支出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10.44</w:t>
      </w:r>
      <w:r>
        <w:rPr>
          <w:rFonts w:hint="eastAsia" w:ascii="仿宋_GB2312" w:hAnsi="仿宋_GB2312" w:eastAsia="仿宋_GB2312" w:cs="仿宋_GB2312"/>
          <w:color w:val="000000" w:themeColor="text1"/>
          <w:sz w:val="32"/>
          <w:szCs w:val="32"/>
          <w14:textFill>
            <w14:solidFill>
              <w14:schemeClr w14:val="tx1"/>
            </w14:solidFill>
          </w14:textFill>
        </w:rPr>
        <w:t>万元，具体内容包括：、农产品品牌宣传推介与市场拓展、农产品质量安全监管、农村能源综合建设、新型农业经营主体指导服务与管理、现代畜牧业发展、重大动物疫病防控、农机新技术新机具推广及可持续农业发展宣传等方面接待支出；新型经营主体培育、农业担保体系建设等业务交流，省及其他市州相关部门来遂调研、抽样、检查验收、督促指导等接待支出。</w:t>
      </w:r>
    </w:p>
    <w:p>
      <w:pPr>
        <w:spacing w:line="600" w:lineRule="exact"/>
        <w:ind w:firstLine="642" w:firstLineChars="200"/>
        <w:outlineLvl w:val="9"/>
        <w:rPr>
          <w:rFonts w:ascii="黑体" w:eastAsia="黑体"/>
          <w:color w:val="000000"/>
          <w:sz w:val="32"/>
          <w:szCs w:val="32"/>
        </w:rPr>
      </w:pPr>
      <w:r>
        <w:rPr>
          <w:rFonts w:hint="eastAsia" w:ascii="仿宋" w:hAnsi="仿宋" w:eastAsia="仿宋"/>
          <w:b/>
          <w:color w:val="000000"/>
          <w:sz w:val="32"/>
          <w:szCs w:val="32"/>
          <w:lang w:eastAsia="zh-CN"/>
        </w:rPr>
        <w:t>无</w:t>
      </w:r>
      <w:r>
        <w:rPr>
          <w:rFonts w:hint="eastAsia" w:ascii="仿宋" w:hAnsi="仿宋" w:eastAsia="仿宋"/>
          <w:b/>
          <w:color w:val="000000"/>
          <w:sz w:val="32"/>
          <w:szCs w:val="32"/>
        </w:rPr>
        <w:t>外事接待支出</w:t>
      </w:r>
      <w:r>
        <w:rPr>
          <w:rFonts w:hint="eastAsia" w:ascii="仿宋" w:hAnsi="仿宋" w:eastAsia="仿宋"/>
          <w:b/>
          <w:color w:val="000000"/>
          <w:sz w:val="32"/>
          <w:szCs w:val="32"/>
          <w:lang w:eastAsia="zh-CN"/>
        </w:rPr>
        <w:t>。</w:t>
      </w:r>
      <w:bookmarkStart w:id="57" w:name="_Toc15377218"/>
      <w:bookmarkStart w:id="58" w:name="_Toc15396610"/>
    </w:p>
    <w:p>
      <w:pPr>
        <w:spacing w:line="600" w:lineRule="exact"/>
        <w:ind w:firstLine="640"/>
        <w:outlineLvl w:val="1"/>
        <w:rPr>
          <w:rStyle w:val="25"/>
          <w:rFonts w:ascii="黑体" w:hAnsi="黑体" w:eastAsia="黑体"/>
        </w:rPr>
      </w:pPr>
      <w:bookmarkStart w:id="59" w:name="_Toc30931"/>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57"/>
      <w:bookmarkEnd w:id="58"/>
      <w:bookmarkEnd w:id="5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838.57</w:t>
      </w:r>
      <w:r>
        <w:rPr>
          <w:rFonts w:hint="eastAsia" w:ascii="仿宋_GB2312" w:eastAsia="仿宋_GB2312"/>
          <w:color w:val="000000"/>
          <w:sz w:val="32"/>
          <w:szCs w:val="32"/>
        </w:rPr>
        <w:t>万元。</w:t>
      </w:r>
    </w:p>
    <w:p>
      <w:pPr>
        <w:numPr>
          <w:ilvl w:val="0"/>
          <w:numId w:val="4"/>
        </w:numPr>
        <w:spacing w:line="600" w:lineRule="exact"/>
        <w:ind w:firstLine="640"/>
        <w:outlineLvl w:val="1"/>
        <w:rPr>
          <w:rStyle w:val="25"/>
          <w:rFonts w:ascii="黑体" w:hAnsi="黑体" w:eastAsia="黑体"/>
          <w:b w:val="0"/>
        </w:rPr>
      </w:pPr>
      <w:bookmarkStart w:id="60" w:name="_Toc15396611"/>
      <w:bookmarkStart w:id="61" w:name="_Toc15377219"/>
      <w:bookmarkStart w:id="62" w:name="_Toc7898"/>
      <w:r>
        <w:rPr>
          <w:rStyle w:val="25"/>
          <w:rFonts w:hint="eastAsia" w:ascii="黑体" w:hAnsi="黑体" w:eastAsia="黑体"/>
          <w:b w:val="0"/>
        </w:rPr>
        <w:t>国有资本经营预算支出决算情况说明</w:t>
      </w:r>
      <w:bookmarkEnd w:id="60"/>
      <w:bookmarkEnd w:id="61"/>
      <w:bookmarkEnd w:id="62"/>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hAnsi="黑体" w:eastAsia="黑体"/>
        </w:rPr>
      </w:pPr>
      <w:bookmarkStart w:id="63" w:name="_Toc32210"/>
      <w:bookmarkStart w:id="64" w:name="_Toc15396612"/>
      <w:bookmarkStart w:id="65"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63"/>
      <w:bookmarkEnd w:id="64"/>
      <w:bookmarkEnd w:id="65"/>
    </w:p>
    <w:p>
      <w:pPr>
        <w:spacing w:line="600" w:lineRule="exact"/>
        <w:ind w:firstLine="642" w:firstLineChars="200"/>
        <w:outlineLvl w:val="2"/>
        <w:rPr>
          <w:rFonts w:ascii="仿宋" w:hAnsi="仿宋" w:eastAsia="仿宋"/>
          <w:color w:val="000000"/>
          <w:sz w:val="32"/>
          <w:szCs w:val="32"/>
        </w:rPr>
      </w:pPr>
      <w:bookmarkStart w:id="66" w:name="_Toc15377222"/>
      <w:r>
        <w:rPr>
          <w:rFonts w:hint="eastAsia" w:ascii="仿宋" w:hAnsi="仿宋" w:eastAsia="仿宋"/>
          <w:b/>
          <w:color w:val="000000"/>
          <w:sz w:val="32"/>
          <w:szCs w:val="32"/>
        </w:rPr>
        <w:t>（一）机关运行经费支出情况</w:t>
      </w:r>
      <w:bookmarkEnd w:id="66"/>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市农业农村局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310.26</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32.4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11.66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农办合并，增人增资。</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67" w:name="_Toc15377223"/>
      <w:r>
        <w:rPr>
          <w:rFonts w:hint="eastAsia" w:ascii="仿宋" w:hAnsi="仿宋" w:eastAsia="仿宋"/>
          <w:b/>
          <w:color w:val="000000"/>
          <w:sz w:val="32"/>
          <w:szCs w:val="32"/>
        </w:rPr>
        <w:t>（二）政府采购支出情况</w:t>
      </w:r>
      <w:bookmarkEnd w:id="6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市农业农村局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129.7</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4.88</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124.82</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主要用于农产品追溯体系建设。授予中小企业合同金额0万元，占政府采购支出总额的0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，其中：授予小微企业合同金额0万元，占政府采购支出总额的0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68" w:name="_Toc15377224"/>
      <w:r>
        <w:rPr>
          <w:rFonts w:hint="eastAsia" w:ascii="仿宋" w:hAnsi="仿宋" w:eastAsia="仿宋"/>
          <w:b/>
          <w:color w:val="000000"/>
          <w:sz w:val="32"/>
          <w:szCs w:val="32"/>
        </w:rPr>
        <w:t>（三）国有资产占有使用情况</w:t>
      </w:r>
      <w:bookmarkEnd w:id="68"/>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市农业农村局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2辆。</w:t>
      </w:r>
    </w:p>
    <w:p>
      <w:pPr>
        <w:autoSpaceDE w:val="0"/>
        <w:autoSpaceDN w:val="0"/>
        <w:adjustRightInd w:val="0"/>
        <w:spacing w:line="600" w:lineRule="exact"/>
        <w:jc w:val="left"/>
        <w:rPr>
          <w:rFonts w:ascii="仿宋" w:hAnsi="仿宋" w:eastAsia="仿宋"/>
          <w:b/>
          <w:color w:val="FF0000"/>
          <w:sz w:val="32"/>
          <w:szCs w:val="32"/>
        </w:rPr>
      </w:pP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根据预算绩效管理要求，本部门（单位）在年初预算编制阶段，组织对</w:t>
      </w:r>
      <w:r>
        <w:rPr>
          <w:rFonts w:hint="eastAsia" w:ascii="楷体_GB2312" w:eastAsia="楷体_GB2312"/>
          <w:sz w:val="32"/>
          <w:szCs w:val="32"/>
        </w:rPr>
        <w:t>“遂宁鲜”公共品牌宣传推广工作项目</w:t>
      </w:r>
      <w:r>
        <w:rPr>
          <w:rFonts w:hint="eastAsia" w:ascii="仿宋_GB2312" w:hAnsi="仿宋_GB2312" w:eastAsia="仿宋_GB2312" w:cs="仿宋_GB2312"/>
          <w:sz w:val="32"/>
          <w:szCs w:val="32"/>
        </w:rPr>
        <w:t>开展了预算事前绩效评估，绩效目标，情况自评。</w:t>
      </w:r>
      <w:r>
        <w:rPr>
          <w:rFonts w:hint="eastAsia" w:ascii="仿宋_GB2312" w:hAnsi="仿宋_GB2312" w:eastAsia="仿宋_GB2312" w:cs="仿宋_GB2312"/>
          <w:color w:val="000000" w:themeColor="text1"/>
          <w:sz w:val="32"/>
          <w:szCs w:val="32"/>
          <w14:textFill>
            <w14:solidFill>
              <w14:schemeClr w14:val="tx1"/>
            </w14:solidFill>
          </w14:textFill>
        </w:rPr>
        <w:t>本部门按要求对201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年部门整体支出开展绩效自评，从评价情况来看我局201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年预算编制较为准确、目标科学合理，预算执行略微滞后，专项项目设立可行，分配及时合规，管理制度完善，按照要求及时公开财务信息、反馈结果应用，较好地完成了年度目标任务。本部门还自行组织对遂宁市农产品质量安全中心“遂宁鲜”公共品牌以奖代补建设专项开展项目支出绩效评价，从评价情况来看，该项目目标明确、决策合理、项目管理较规范、满意度高，基本实现了项目预期目标，取得了良好的经济、社会、生态效益。但通过绩效评价也反映出项目在项目目标制定、项目资金执行等方面存在一些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overflowPunct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遂宁鲜”公共品牌宣传推广工作项目绩效目标完</w:t>
      </w:r>
      <w:r>
        <w:rPr>
          <w:rFonts w:hint="eastAsia" w:ascii="仿宋_GB2312" w:hAnsi="仿宋_GB2312" w:eastAsia="仿宋_GB2312" w:cs="仿宋_GB2312"/>
          <w:sz w:val="32"/>
          <w:szCs w:val="32"/>
        </w:rPr>
        <w:t>成情况综述。项目全年预算数</w:t>
      </w:r>
      <w:r>
        <w:rPr>
          <w:rFonts w:hint="eastAsia" w:ascii="仿宋_GB2312" w:hAnsi="仿宋_GB2312" w:eastAsia="仿宋_GB2312" w:cs="仿宋_GB2312"/>
          <w:sz w:val="32"/>
          <w:szCs w:val="32"/>
          <w:lang w:val="en-US" w:eastAsia="zh-CN"/>
        </w:rPr>
        <w:t>850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eastAsia="仿宋_GB2312"/>
          <w:color w:val="000000"/>
          <w:sz w:val="32"/>
          <w:szCs w:val="32"/>
        </w:rPr>
        <w:t>以遂宁涉农企业为主体，借助销售渠道，拓展北京市场，借助“遂宁鲜”农产品展示体验平台，实现遂宁农业、遂宁城市文化外宣功能；达到助农增收、助企增效，有效实现优质农产品产品溢价功能。</w:t>
      </w:r>
      <w:r>
        <w:rPr>
          <w:rFonts w:hint="eastAsia" w:ascii="仿宋_GB2312" w:hAnsi="仿宋_GB2312" w:eastAsia="仿宋_GB2312" w:cs="仿宋_GB2312"/>
          <w:sz w:val="32"/>
          <w:szCs w:val="32"/>
        </w:rPr>
        <w:t>发现的主要问题：</w:t>
      </w:r>
      <w:r>
        <w:rPr>
          <w:rFonts w:hint="eastAsia" w:ascii="仿宋_GB2312" w:eastAsia="仿宋_GB2312"/>
          <w:sz w:val="32"/>
          <w:szCs w:val="32"/>
        </w:rPr>
        <w:t>一是项目建设需夯实基础，练好“遂宁鲜”品牌质量“基本功”。二是构建体系，做好“遂宁鲜”品牌管理“必修课”。三是整合资料，打好“遂宁鲜”品牌营销“组合拳”。</w:t>
      </w:r>
      <w:r>
        <w:rPr>
          <w:rFonts w:hint="eastAsia" w:ascii="仿宋_GB2312" w:hAnsi="仿宋_GB2312" w:eastAsia="仿宋_GB2312" w:cs="仿宋_GB2312"/>
          <w:sz w:val="32"/>
          <w:szCs w:val="32"/>
        </w:rPr>
        <w:t>。下一步改进措施：</w:t>
      </w:r>
      <w:r>
        <w:rPr>
          <w:rFonts w:hint="eastAsia" w:ascii="仿宋_GB2312" w:eastAsia="仿宋_GB2312"/>
          <w:sz w:val="32"/>
          <w:szCs w:val="32"/>
        </w:rPr>
        <w:t>组建统一专业营销团队开展销售，</w:t>
      </w:r>
      <w:r>
        <w:rPr>
          <w:rFonts w:hint="eastAsia" w:ascii="仿宋_GB2312" w:hAnsi="仿宋" w:eastAsia="仿宋_GB2312" w:cs="仿宋"/>
          <w:color w:val="000000"/>
          <w:sz w:val="32"/>
          <w:szCs w:val="32"/>
        </w:rPr>
        <w:t>建立“遂宁鲜”部分产品标准</w:t>
      </w:r>
      <w:r>
        <w:rPr>
          <w:rFonts w:hint="eastAsia" w:ascii="仿宋_GB2312" w:eastAsia="仿宋_GB2312"/>
          <w:sz w:val="32"/>
          <w:szCs w:val="32"/>
        </w:rPr>
        <w:t>。鼓励企业按照市场要求创新包装，对包装、产品规格及质量标准按照要求营销的企业及组织产品统一包装推广的协会（公司）给予引导性以奖代补奖励政策。</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楷体_GB2312" w:eastAsia="楷体_GB2312"/>
                <w:sz w:val="32"/>
                <w:szCs w:val="32"/>
              </w:rPr>
              <w:t>“遂宁鲜”公共品牌宣传推广工作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遂宁市农产品质量安全中心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850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850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850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850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overflowPunct w:val="0"/>
              <w:spacing w:line="590" w:lineRule="exact"/>
              <w:ind w:firstLine="480" w:firstLineChars="200"/>
              <w:rPr>
                <w:rFonts w:hint="eastAsia" w:ascii="仿宋_GB2312" w:eastAsia="仿宋_GB2312"/>
                <w:sz w:val="24"/>
              </w:rPr>
            </w:pPr>
            <w:r>
              <w:rPr>
                <w:rFonts w:hint="eastAsia" w:eastAsia="仿宋_GB2312"/>
                <w:color w:val="000000"/>
                <w:sz w:val="24"/>
              </w:rPr>
              <w:t>1.建设在</w:t>
            </w:r>
            <w:r>
              <w:rPr>
                <w:rFonts w:hint="eastAsia" w:ascii="仿宋_GB2312" w:hAnsi="仿宋" w:eastAsia="仿宋_GB2312" w:cs="仿宋"/>
                <w:color w:val="000000"/>
                <w:sz w:val="24"/>
              </w:rPr>
              <w:t>遂宁河东、北京西二环举行了“遂宁鲜”体验中心。在</w:t>
            </w:r>
            <w:r>
              <w:rPr>
                <w:rFonts w:hint="eastAsia" w:ascii="仿宋_GB2312" w:eastAsia="仿宋_GB2312"/>
                <w:sz w:val="24"/>
              </w:rPr>
              <w:t>成都双流机场“遂宁鲜”直销店。</w:t>
            </w:r>
          </w:p>
          <w:p>
            <w:pPr>
              <w:overflowPunct w:val="0"/>
              <w:spacing w:line="590" w:lineRule="exact"/>
              <w:ind w:firstLine="480" w:firstLineChars="200"/>
              <w:rPr>
                <w:rFonts w:ascii="仿宋_GB2312" w:hAnsi="仿宋" w:eastAsia="仿宋_GB2312" w:cs="仿宋"/>
                <w:color w:val="000000"/>
                <w:sz w:val="24"/>
              </w:rPr>
            </w:pPr>
            <w:r>
              <w:rPr>
                <w:rFonts w:hint="eastAsia" w:eastAsia="仿宋_GB2312"/>
                <w:color w:val="000000"/>
                <w:sz w:val="24"/>
              </w:rPr>
              <w:t>2.组</w:t>
            </w:r>
            <w:r>
              <w:rPr>
                <w:rFonts w:hint="eastAsia" w:ascii="仿宋_GB2312" w:hAnsi="仿宋" w:eastAsia="仿宋_GB2312" w:cs="仿宋"/>
                <w:color w:val="000000"/>
                <w:sz w:val="24"/>
              </w:rPr>
              <w:t>织“遂宁鲜”产品参加各类展会。</w:t>
            </w:r>
          </w:p>
          <w:p>
            <w:pPr>
              <w:spacing w:line="590" w:lineRule="exact"/>
              <w:ind w:firstLine="480" w:firstLineChars="200"/>
              <w:jc w:val="left"/>
              <w:rPr>
                <w:rFonts w:ascii="仿宋_GB2312" w:hAnsi="仿宋" w:eastAsia="仿宋_GB2312" w:cs="仿宋"/>
                <w:color w:val="000000"/>
                <w:sz w:val="24"/>
              </w:rPr>
            </w:pPr>
            <w:r>
              <w:rPr>
                <w:rFonts w:hint="eastAsia" w:eastAsia="仿宋_GB2312"/>
                <w:color w:val="000000"/>
                <w:sz w:val="24"/>
              </w:rPr>
              <w:t>3.</w:t>
            </w:r>
            <w:r>
              <w:rPr>
                <w:rFonts w:hint="eastAsia" w:ascii="仿宋_GB2312" w:eastAsia="仿宋_GB2312"/>
                <w:sz w:val="24"/>
              </w:rPr>
              <w:t>通过各种媒体广告</w:t>
            </w:r>
            <w:r>
              <w:rPr>
                <w:rFonts w:hint="eastAsia" w:ascii="仿宋_GB2312" w:hAnsi="仿宋" w:eastAsia="仿宋_GB2312" w:cs="仿宋"/>
                <w:color w:val="000000"/>
                <w:sz w:val="24"/>
              </w:rPr>
              <w:t>多角度、全方位加大“遂宁鲜”品牌推广。</w:t>
            </w:r>
          </w:p>
          <w:p>
            <w:pPr>
              <w:spacing w:line="590" w:lineRule="exact"/>
              <w:ind w:firstLine="480" w:firstLineChars="200"/>
              <w:rPr>
                <w:rFonts w:ascii="仿宋_GB2312" w:hAnsi="仿宋" w:eastAsia="仿宋_GB2312" w:cs="仿宋"/>
                <w:color w:val="000000"/>
                <w:sz w:val="24"/>
              </w:rPr>
            </w:pPr>
            <w:r>
              <w:rPr>
                <w:rFonts w:hint="eastAsia" w:eastAsia="仿宋_GB2312"/>
                <w:color w:val="000000"/>
                <w:sz w:val="24"/>
              </w:rPr>
              <w:t>4.通</w:t>
            </w:r>
            <w:r>
              <w:rPr>
                <w:rFonts w:hint="eastAsia" w:ascii="仿宋_GB2312" w:hAnsi="仿宋" w:eastAsia="仿宋_GB2312" w:cs="仿宋"/>
                <w:color w:val="000000"/>
                <w:sz w:val="24"/>
              </w:rPr>
              <w:t>过“遂宁鲜”线上线下店建设丰富“遂宁鲜”产品网销渠道。</w:t>
            </w:r>
          </w:p>
          <w:p>
            <w:pPr>
              <w:overflowPunct w:val="0"/>
              <w:spacing w:line="590" w:lineRule="exact"/>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overflowPunct w:val="0"/>
              <w:spacing w:line="590" w:lineRule="exact"/>
              <w:rPr>
                <w:rFonts w:hint="eastAsia" w:ascii="仿宋" w:hAnsi="仿宋" w:eastAsia="仿宋"/>
                <w:sz w:val="24"/>
              </w:rPr>
            </w:pPr>
            <w:r>
              <w:rPr>
                <w:rFonts w:hint="eastAsia" w:ascii="仿宋" w:hAnsi="仿宋" w:eastAsia="仿宋"/>
                <w:color w:val="000000"/>
                <w:sz w:val="24"/>
              </w:rPr>
              <w:t>1.2019年分别在</w:t>
            </w:r>
            <w:r>
              <w:rPr>
                <w:rFonts w:hint="eastAsia" w:ascii="仿宋" w:hAnsi="仿宋" w:eastAsia="仿宋" w:cs="仿宋"/>
                <w:color w:val="000000"/>
                <w:sz w:val="24"/>
              </w:rPr>
              <w:t>遂宁河东、北京西二环举行了“遂宁鲜”体验中心运营启动仪式。在</w:t>
            </w:r>
            <w:r>
              <w:rPr>
                <w:rFonts w:hint="eastAsia" w:ascii="仿宋" w:hAnsi="仿宋" w:eastAsia="仿宋"/>
                <w:sz w:val="24"/>
              </w:rPr>
              <w:t>成都双流机场“遂宁鲜”直销店。于T2航站楼，面</w:t>
            </w:r>
            <w:r>
              <w:rPr>
                <w:rFonts w:hint="eastAsia" w:ascii="仿宋" w:hAnsi="仿宋" w:eastAsia="仿宋"/>
                <w:color w:val="000000"/>
                <w:sz w:val="24"/>
              </w:rPr>
              <w:t>积50平</w:t>
            </w:r>
            <w:r>
              <w:rPr>
                <w:rFonts w:hint="eastAsia" w:ascii="仿宋" w:hAnsi="仿宋" w:eastAsia="仿宋"/>
                <w:sz w:val="24"/>
              </w:rPr>
              <w:t>米。</w:t>
            </w:r>
          </w:p>
          <w:p>
            <w:pPr>
              <w:overflowPunct w:val="0"/>
              <w:spacing w:line="590" w:lineRule="exact"/>
              <w:rPr>
                <w:rFonts w:ascii="仿宋" w:hAnsi="仿宋" w:eastAsia="仿宋"/>
                <w:sz w:val="24"/>
              </w:rPr>
            </w:pPr>
            <w:r>
              <w:rPr>
                <w:rFonts w:hint="eastAsia" w:ascii="仿宋" w:hAnsi="仿宋" w:eastAsia="仿宋"/>
                <w:sz w:val="24"/>
              </w:rPr>
              <w:t>2.</w:t>
            </w:r>
            <w:r>
              <w:rPr>
                <w:rFonts w:hint="eastAsia" w:ascii="仿宋" w:hAnsi="仿宋" w:eastAsia="仿宋"/>
                <w:color w:val="000000"/>
                <w:sz w:val="24"/>
              </w:rPr>
              <w:t>组</w:t>
            </w:r>
            <w:r>
              <w:rPr>
                <w:rFonts w:hint="eastAsia" w:ascii="仿宋" w:hAnsi="仿宋" w:eastAsia="仿宋" w:cs="仿宋"/>
                <w:color w:val="000000"/>
                <w:sz w:val="24"/>
              </w:rPr>
              <w:t>织“遂宁鲜”产品参加各类展会10余次。</w:t>
            </w:r>
          </w:p>
          <w:p>
            <w:pPr>
              <w:spacing w:line="590" w:lineRule="exact"/>
              <w:jc w:val="left"/>
              <w:rPr>
                <w:rFonts w:hint="eastAsia" w:ascii="仿宋" w:hAnsi="仿宋" w:eastAsia="仿宋" w:cs="仿宋"/>
                <w:color w:val="000000"/>
                <w:sz w:val="24"/>
              </w:rPr>
            </w:pPr>
            <w:r>
              <w:rPr>
                <w:rFonts w:hint="eastAsia" w:ascii="仿宋" w:hAnsi="仿宋" w:eastAsia="仿宋"/>
                <w:color w:val="000000"/>
                <w:sz w:val="24"/>
              </w:rPr>
              <w:t>3．</w:t>
            </w:r>
            <w:r>
              <w:rPr>
                <w:rFonts w:hint="eastAsia" w:ascii="仿宋" w:hAnsi="仿宋" w:eastAsia="仿宋" w:cs="仿宋"/>
                <w:color w:val="000000"/>
                <w:sz w:val="24"/>
              </w:rPr>
              <w:t>创新宣传载体和宣传方式全年在中、省、市各级媒体累计开展相关报道30余次。</w:t>
            </w:r>
          </w:p>
          <w:p>
            <w:pPr>
              <w:spacing w:line="590" w:lineRule="exact"/>
              <w:jc w:val="left"/>
              <w:rPr>
                <w:rFonts w:ascii="仿宋" w:hAnsi="仿宋" w:eastAsia="仿宋"/>
                <w:color w:val="000000"/>
                <w:sz w:val="24"/>
              </w:rPr>
            </w:pPr>
            <w:r>
              <w:rPr>
                <w:rFonts w:hint="eastAsia" w:ascii="仿宋" w:hAnsi="仿宋" w:eastAsia="仿宋"/>
                <w:color w:val="000000"/>
                <w:sz w:val="24"/>
              </w:rPr>
              <w:t>4．通</w:t>
            </w:r>
            <w:r>
              <w:rPr>
                <w:rFonts w:hint="eastAsia" w:ascii="仿宋" w:hAnsi="仿宋" w:eastAsia="仿宋" w:cs="仿宋"/>
                <w:color w:val="000000"/>
                <w:sz w:val="24"/>
              </w:rPr>
              <w:t>过“遂宁鲜”电商官方旗舰店、“遂宁鲜”淘宝旗舰店、“遂宁鲜”企业自建平台直销或借助大型网络平台推广销售，新推出“遂宁鲜”微信小程序，</w:t>
            </w:r>
            <w:r>
              <w:rPr>
                <w:rFonts w:hint="eastAsia" w:ascii="仿宋" w:hAnsi="仿宋" w:eastAsia="仿宋"/>
                <w:color w:val="000000"/>
                <w:sz w:val="24"/>
              </w:rPr>
              <w:t xml:space="preserve"> 2019年</w:t>
            </w:r>
            <w:r>
              <w:rPr>
                <w:rFonts w:hint="eastAsia" w:ascii="仿宋" w:hAnsi="仿宋" w:eastAsia="仿宋" w:cs="仿宋"/>
                <w:color w:val="000000"/>
                <w:sz w:val="24"/>
              </w:rPr>
              <w:t>，“遂宁鲜”会员企业产品销售额将</w:t>
            </w:r>
            <w:r>
              <w:rPr>
                <w:rFonts w:hint="eastAsia" w:ascii="仿宋" w:hAnsi="仿宋" w:eastAsia="仿宋"/>
                <w:color w:val="000000"/>
                <w:sz w:val="24"/>
              </w:rPr>
              <w:t>达62亿元，比去年增长10.7%。</w:t>
            </w:r>
          </w:p>
          <w:p>
            <w:pPr>
              <w:widowControl/>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建设体验中心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建设遂宁、北京、成都3家体验中心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完成遂宁河东、北京、成都机场3家体验中心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组织参加各类展会</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以“遂宁鲜”为代表参加10余次展会</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参加成都、重庆、郑州等地10余次农交会、农博会、绿博会</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全方位加大“遂宁鲜”宣传</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各种媒体广告多角度宣传1000余次</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在中、省各级媒体，高速广告宣传“遂宁鲜”1000余次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建设线上线下体验中心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完善美团、微信、淘宝3家“遂宁鲜”线上店</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遂宁鲜3家线上店</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线上线下店销量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农产品销售额增加5%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农产品销售额增加10%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拉动社会投资</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拉动社会投资1000万元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拉动社会投资1000余元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各级认可</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满意情况</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农民增收，企业增效</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农民增收，企业增效</w:t>
            </w:r>
          </w:p>
        </w:tc>
      </w:tr>
    </w:tbl>
    <w:p>
      <w:pPr>
        <w:spacing w:line="580" w:lineRule="exact"/>
        <w:ind w:left="630"/>
        <w:rPr>
          <w:rFonts w:ascii="仿宋_GB2312" w:hAnsi="仿宋_GB2312" w:eastAsia="仿宋_GB2312" w:cs="仿宋_GB2312"/>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spacing w:line="600" w:lineRule="exact"/>
        <w:jc w:val="center"/>
        <w:outlineLvl w:val="9"/>
        <w:rPr>
          <w:rFonts w:ascii="方正小标宋简体" w:hAnsi="仿宋" w:eastAsia="方正小标宋简体" w:cs="仿宋"/>
          <w:color w:val="000000" w:themeColor="text1"/>
          <w:sz w:val="36"/>
          <w:szCs w:val="36"/>
          <w14:textFill>
            <w14:solidFill>
              <w14:schemeClr w14:val="tx1"/>
            </w14:solidFill>
          </w14:textFill>
        </w:rPr>
      </w:pPr>
      <w:bookmarkStart w:id="69" w:name="_Toc15377226"/>
      <w:r>
        <w:rPr>
          <w:rFonts w:hint="eastAsia" w:ascii="方正小标宋简体" w:hAnsi="仿宋" w:eastAsia="方正小标宋简体" w:cs="仿宋"/>
          <w:color w:val="000000" w:themeColor="text1"/>
          <w:sz w:val="36"/>
          <w:szCs w:val="36"/>
          <w14:textFill>
            <w14:solidFill>
              <w14:schemeClr w14:val="tx1"/>
            </w14:solidFill>
          </w14:textFill>
        </w:rPr>
        <w:t>遂宁市农业</w:t>
      </w:r>
      <w:r>
        <w:rPr>
          <w:rFonts w:hint="eastAsia" w:ascii="方正小标宋简体" w:hAnsi="仿宋" w:eastAsia="方正小标宋简体" w:cs="仿宋"/>
          <w:color w:val="000000" w:themeColor="text1"/>
          <w:sz w:val="36"/>
          <w:szCs w:val="36"/>
          <w:lang w:eastAsia="zh-CN"/>
          <w14:textFill>
            <w14:solidFill>
              <w14:schemeClr w14:val="tx1"/>
            </w14:solidFill>
          </w14:textFill>
        </w:rPr>
        <w:t>农村</w:t>
      </w:r>
      <w:r>
        <w:rPr>
          <w:rFonts w:hint="eastAsia" w:ascii="方正小标宋简体" w:hAnsi="仿宋" w:eastAsia="方正小标宋简体" w:cs="仿宋"/>
          <w:color w:val="000000" w:themeColor="text1"/>
          <w:sz w:val="36"/>
          <w:szCs w:val="36"/>
          <w14:textFill>
            <w14:solidFill>
              <w14:schemeClr w14:val="tx1"/>
            </w14:solidFill>
          </w14:textFill>
        </w:rPr>
        <w:t>局</w:t>
      </w:r>
    </w:p>
    <w:p>
      <w:pPr>
        <w:spacing w:line="600" w:lineRule="exact"/>
        <w:jc w:val="center"/>
        <w:outlineLvl w:val="9"/>
        <w:rPr>
          <w:rFonts w:ascii="方正小标宋简体" w:hAnsi="仿宋" w:eastAsia="方正小标宋简体" w:cs="仿宋"/>
          <w:color w:val="000000" w:themeColor="text1"/>
          <w:sz w:val="36"/>
          <w:szCs w:val="36"/>
          <w14:textFill>
            <w14:solidFill>
              <w14:schemeClr w14:val="tx1"/>
            </w14:solidFill>
          </w14:textFill>
        </w:rPr>
      </w:pPr>
      <w:r>
        <w:rPr>
          <w:rFonts w:hint="eastAsia" w:ascii="方正小标宋简体" w:hAnsi="仿宋" w:eastAsia="方正小标宋简体" w:cs="仿宋"/>
          <w:color w:val="000000" w:themeColor="text1"/>
          <w:sz w:val="36"/>
          <w:szCs w:val="36"/>
          <w14:textFill>
            <w14:solidFill>
              <w14:schemeClr w14:val="tx1"/>
            </w14:solidFill>
          </w14:textFill>
        </w:rPr>
        <w:t>201</w:t>
      </w:r>
      <w:r>
        <w:rPr>
          <w:rFonts w:hint="eastAsia" w:ascii="方正小标宋简体" w:hAnsi="仿宋" w:eastAsia="方正小标宋简体" w:cs="仿宋"/>
          <w:color w:val="000000" w:themeColor="text1"/>
          <w:sz w:val="36"/>
          <w:szCs w:val="36"/>
          <w:lang w:val="en-US" w:eastAsia="zh-CN"/>
          <w14:textFill>
            <w14:solidFill>
              <w14:schemeClr w14:val="tx1"/>
            </w14:solidFill>
          </w14:textFill>
        </w:rPr>
        <w:t>9</w:t>
      </w:r>
      <w:r>
        <w:rPr>
          <w:rFonts w:hint="eastAsia" w:ascii="方正小标宋简体" w:hAnsi="仿宋" w:eastAsia="方正小标宋简体" w:cs="仿宋"/>
          <w:color w:val="000000" w:themeColor="text1"/>
          <w:sz w:val="36"/>
          <w:szCs w:val="36"/>
          <w14:textFill>
            <w14:solidFill>
              <w14:schemeClr w14:val="tx1"/>
            </w14:solidFill>
          </w14:textFill>
        </w:rPr>
        <w:t>年部门整体支出绩效评价得分表</w:t>
      </w:r>
    </w:p>
    <w:tbl>
      <w:tblPr>
        <w:tblStyle w:val="12"/>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498"/>
        <w:gridCol w:w="2791"/>
        <w:gridCol w:w="851"/>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Align w:val="center"/>
          </w:tcPr>
          <w:p>
            <w:pPr>
              <w:widowControl/>
              <w:spacing w:line="260" w:lineRule="exact"/>
              <w:jc w:val="center"/>
              <w:rPr>
                <w:rFonts w:eastAsia="仿宋"/>
                <w:b/>
                <w:bCs/>
                <w:color w:val="000000" w:themeColor="text1"/>
                <w:kern w:val="0"/>
                <w:sz w:val="24"/>
                <w14:textFill>
                  <w14:solidFill>
                    <w14:schemeClr w14:val="tx1"/>
                  </w14:solidFill>
                </w14:textFill>
              </w:rPr>
            </w:pPr>
            <w:r>
              <w:rPr>
                <w:rFonts w:eastAsia="仿宋"/>
                <w:b/>
                <w:bCs/>
                <w:color w:val="000000" w:themeColor="text1"/>
                <w:kern w:val="0"/>
                <w:sz w:val="24"/>
                <w14:textFill>
                  <w14:solidFill>
                    <w14:schemeClr w14:val="tx1"/>
                  </w14:solidFill>
                </w14:textFill>
              </w:rPr>
              <w:t>一级指标</w:t>
            </w:r>
          </w:p>
        </w:tc>
        <w:tc>
          <w:tcPr>
            <w:tcW w:w="2498" w:type="dxa"/>
            <w:vAlign w:val="center"/>
          </w:tcPr>
          <w:p>
            <w:pPr>
              <w:widowControl/>
              <w:spacing w:line="260" w:lineRule="exact"/>
              <w:jc w:val="center"/>
              <w:rPr>
                <w:rFonts w:eastAsia="仿宋"/>
                <w:b/>
                <w:bCs/>
                <w:color w:val="000000" w:themeColor="text1"/>
                <w:kern w:val="0"/>
                <w:sz w:val="24"/>
                <w14:textFill>
                  <w14:solidFill>
                    <w14:schemeClr w14:val="tx1"/>
                  </w14:solidFill>
                </w14:textFill>
              </w:rPr>
            </w:pPr>
            <w:r>
              <w:rPr>
                <w:rFonts w:eastAsia="仿宋"/>
                <w:b/>
                <w:bCs/>
                <w:color w:val="000000" w:themeColor="text1"/>
                <w:kern w:val="0"/>
                <w:sz w:val="24"/>
                <w14:textFill>
                  <w14:solidFill>
                    <w14:schemeClr w14:val="tx1"/>
                  </w14:solidFill>
                </w14:textFill>
              </w:rPr>
              <w:t>二级指标</w:t>
            </w:r>
          </w:p>
        </w:tc>
        <w:tc>
          <w:tcPr>
            <w:tcW w:w="2791" w:type="dxa"/>
            <w:vAlign w:val="center"/>
          </w:tcPr>
          <w:p>
            <w:pPr>
              <w:widowControl/>
              <w:spacing w:line="260" w:lineRule="exact"/>
              <w:jc w:val="center"/>
              <w:rPr>
                <w:rFonts w:eastAsia="仿宋"/>
                <w:b/>
                <w:bCs/>
                <w:color w:val="000000" w:themeColor="text1"/>
                <w:kern w:val="0"/>
                <w:sz w:val="24"/>
                <w14:textFill>
                  <w14:solidFill>
                    <w14:schemeClr w14:val="tx1"/>
                  </w14:solidFill>
                </w14:textFill>
              </w:rPr>
            </w:pPr>
            <w:r>
              <w:rPr>
                <w:rFonts w:eastAsia="仿宋"/>
                <w:b/>
                <w:bCs/>
                <w:color w:val="000000" w:themeColor="text1"/>
                <w:kern w:val="0"/>
                <w:sz w:val="24"/>
                <w14:textFill>
                  <w14:solidFill>
                    <w14:schemeClr w14:val="tx1"/>
                  </w14:solidFill>
                </w14:textFill>
              </w:rPr>
              <w:t>三级指标</w:t>
            </w:r>
          </w:p>
        </w:tc>
        <w:tc>
          <w:tcPr>
            <w:tcW w:w="851" w:type="dxa"/>
            <w:vAlign w:val="center"/>
          </w:tcPr>
          <w:p>
            <w:pPr>
              <w:widowControl/>
              <w:spacing w:line="260" w:lineRule="exact"/>
              <w:jc w:val="center"/>
              <w:rPr>
                <w:rFonts w:eastAsia="仿宋"/>
                <w:b/>
                <w:bCs/>
                <w:color w:val="000000" w:themeColor="text1"/>
                <w:kern w:val="0"/>
                <w:sz w:val="24"/>
                <w14:textFill>
                  <w14:solidFill>
                    <w14:schemeClr w14:val="tx1"/>
                  </w14:solidFill>
                </w14:textFill>
              </w:rPr>
            </w:pPr>
            <w:r>
              <w:rPr>
                <w:rFonts w:eastAsia="仿宋"/>
                <w:b/>
                <w:bCs/>
                <w:color w:val="000000" w:themeColor="text1"/>
                <w:kern w:val="0"/>
                <w:sz w:val="24"/>
                <w14:textFill>
                  <w14:solidFill>
                    <w14:schemeClr w14:val="tx1"/>
                  </w14:solidFill>
                </w14:textFill>
              </w:rPr>
              <w:t>分值</w:t>
            </w:r>
          </w:p>
        </w:tc>
        <w:tc>
          <w:tcPr>
            <w:tcW w:w="860" w:type="dxa"/>
            <w:vAlign w:val="center"/>
          </w:tcPr>
          <w:p>
            <w:pPr>
              <w:widowControl/>
              <w:spacing w:line="260" w:lineRule="exact"/>
              <w:jc w:val="center"/>
              <w:rPr>
                <w:rFonts w:eastAsia="仿宋"/>
                <w:b/>
                <w:bCs/>
                <w:color w:val="000000" w:themeColor="text1"/>
                <w:kern w:val="0"/>
                <w:sz w:val="24"/>
                <w14:textFill>
                  <w14:solidFill>
                    <w14:schemeClr w14:val="tx1"/>
                  </w14:solidFill>
                </w14:textFill>
              </w:rPr>
            </w:pPr>
            <w:r>
              <w:rPr>
                <w:rFonts w:eastAsia="仿宋"/>
                <w:b/>
                <w:bCs/>
                <w:color w:val="000000" w:themeColor="text1"/>
                <w:kern w:val="0"/>
                <w:sz w:val="24"/>
                <w14:textFill>
                  <w14:solidFill>
                    <w14:schemeClr w14:val="tx1"/>
                  </w14:solidFill>
                </w14:textFill>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restart"/>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预算编制（10分）</w:t>
            </w:r>
          </w:p>
        </w:tc>
        <w:tc>
          <w:tcPr>
            <w:tcW w:w="2498" w:type="dxa"/>
            <w:vAlign w:val="center"/>
          </w:tcPr>
          <w:p>
            <w:pPr>
              <w:widowControl/>
              <w:spacing w:line="52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报送时效（1分）</w:t>
            </w:r>
          </w:p>
        </w:tc>
        <w:tc>
          <w:tcPr>
            <w:tcW w:w="2791" w:type="dxa"/>
            <w:vAlign w:val="center"/>
          </w:tcPr>
          <w:p>
            <w:pPr>
              <w:widowControl/>
              <w:spacing w:line="52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基础信息更新</w:t>
            </w:r>
          </w:p>
        </w:tc>
        <w:tc>
          <w:tcPr>
            <w:tcW w:w="851" w:type="dxa"/>
            <w:vAlign w:val="center"/>
          </w:tcPr>
          <w:p>
            <w:pPr>
              <w:widowControl/>
              <w:spacing w:line="52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w:t>
            </w:r>
          </w:p>
        </w:tc>
        <w:tc>
          <w:tcPr>
            <w:tcW w:w="860" w:type="dxa"/>
            <w:vAlign w:val="center"/>
          </w:tcPr>
          <w:p>
            <w:pPr>
              <w:widowControl/>
              <w:spacing w:line="520" w:lineRule="exact"/>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52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编制质量（2分）</w:t>
            </w:r>
          </w:p>
        </w:tc>
        <w:tc>
          <w:tcPr>
            <w:tcW w:w="2791" w:type="dxa"/>
            <w:vAlign w:val="center"/>
          </w:tcPr>
          <w:p>
            <w:pPr>
              <w:widowControl/>
              <w:spacing w:line="52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预算编制准确</w:t>
            </w:r>
          </w:p>
        </w:tc>
        <w:tc>
          <w:tcPr>
            <w:tcW w:w="851" w:type="dxa"/>
            <w:vAlign w:val="center"/>
          </w:tcPr>
          <w:p>
            <w:pPr>
              <w:widowControl/>
              <w:spacing w:line="52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w:t>
            </w:r>
          </w:p>
        </w:tc>
        <w:tc>
          <w:tcPr>
            <w:tcW w:w="860" w:type="dxa"/>
            <w:vAlign w:val="center"/>
          </w:tcPr>
          <w:p>
            <w:pPr>
              <w:widowControl/>
              <w:spacing w:line="520" w:lineRule="exact"/>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52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52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部门预算审查</w:t>
            </w:r>
          </w:p>
        </w:tc>
        <w:tc>
          <w:tcPr>
            <w:tcW w:w="851" w:type="dxa"/>
            <w:vAlign w:val="center"/>
          </w:tcPr>
          <w:p>
            <w:pPr>
              <w:widowControl/>
              <w:spacing w:line="52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w:t>
            </w:r>
          </w:p>
        </w:tc>
        <w:tc>
          <w:tcPr>
            <w:tcW w:w="860" w:type="dxa"/>
            <w:vAlign w:val="center"/>
          </w:tcPr>
          <w:p>
            <w:pPr>
              <w:widowControl/>
              <w:spacing w:line="520" w:lineRule="exact"/>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绩效目标（5分）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部门整体绩效目标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重点项目绩效目标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转移支付提前下达</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转移支付提前下达</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专项转移支付分地区分项目编制</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专项转移支付分地区分项目编制</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restart"/>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预算执行（20分）</w:t>
            </w: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执行进度（10分）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省级财力专项预算分配时限</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4</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中央专款分配合规率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部门预算执行进度</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预算调整（4分）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执行中期评估</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4</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行政成本（6分）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节能降耗</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三公经费</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restart"/>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综合管理（40分）</w:t>
            </w:r>
          </w:p>
        </w:tc>
        <w:tc>
          <w:tcPr>
            <w:tcW w:w="2498"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债务管理（2分）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债务还本付息</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非税收入执收情况（4分）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非税收入征收情况</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非税收入上缴情况</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政府采购实施计划（4分）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政府采购实施计划编制</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政府采购实施计划的执行</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资产管理（6分）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资产管理信息系统建设情况</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行政事业单位资产清查开展情况</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行政事业单位资产报表上报情况</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内控制度管理（2分）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内部控制度健全完整</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信息公开（6分）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预算公开</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决算公开</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绩效信息公开</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绩效评价（10分）</w:t>
            </w: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评价项目覆盖率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评价层次</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评价结果报告</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整改完成率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4</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依法接受财政监督（6分）</w:t>
            </w:r>
          </w:p>
        </w:tc>
        <w:tc>
          <w:tcPr>
            <w:tcW w:w="2791" w:type="dxa"/>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是否按要求开展自查自纠</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重点检查发现违规违纪问题</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存在问题整改是否到位</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restart"/>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整体效益（30分）</w:t>
            </w: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部门整体绩效（30分）</w:t>
            </w: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重点项目绩效评价结果</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10</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部门职能完成情况特性指标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20</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968" w:type="dxa"/>
            <w:gridSpan w:val="2"/>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不存在的评价内容或指标评分</w:t>
            </w: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p>
        </w:tc>
        <w:tc>
          <w:tcPr>
            <w:tcW w:w="860"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59" w:type="dxa"/>
            <w:gridSpan w:val="3"/>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合计</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100</w:t>
            </w:r>
          </w:p>
        </w:tc>
        <w:tc>
          <w:tcPr>
            <w:tcW w:w="860"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96.35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70" w:type="dxa"/>
            <w:gridSpan w:val="5"/>
            <w:vAlign w:val="center"/>
          </w:tcPr>
          <w:p>
            <w:pPr>
              <w:widowControl/>
              <w:spacing w:line="30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注：若某部门不存在某项评价内容或评价指标，则该评价内容或评价指标不计入该部门考核评价范围，即该部门评价总分＝不含该评价内容或指标的评价总分/（100-该评价内容或指标所占分值）*100。</w:t>
            </w:r>
          </w:p>
        </w:tc>
      </w:tr>
    </w:tbl>
    <w:p>
      <w:pPr>
        <w:widowControl/>
        <w:jc w:val="left"/>
        <w:rPr>
          <w:rFonts w:ascii="仿宋_GB2312" w:eastAsia="仿宋_GB2312"/>
          <w:b/>
          <w:color w:val="000000" w:themeColor="text1"/>
          <w:sz w:val="32"/>
          <w:szCs w:val="32"/>
          <w14:textFill>
            <w14:solidFill>
              <w14:schemeClr w14:val="tx1"/>
            </w14:solidFill>
          </w14:textFill>
        </w:rPr>
      </w:pPr>
    </w:p>
    <w:p>
      <w:pPr>
        <w:rPr>
          <w:rStyle w:val="30"/>
          <w:rFonts w:ascii="黑体" w:hAnsi="黑体" w:eastAsia="黑体"/>
          <w:b w:val="0"/>
          <w:color w:val="000000" w:themeColor="text1"/>
          <w14:textFill>
            <w14:solidFill>
              <w14:schemeClr w14:val="tx1"/>
            </w14:solidFill>
          </w14:textFill>
        </w:rPr>
      </w:pPr>
      <w:bookmarkStart w:id="70" w:name="_Toc15377225"/>
      <w:bookmarkStart w:id="71" w:name="_Toc15396613"/>
      <w:r>
        <w:rPr>
          <w:rFonts w:hint="eastAsia" w:ascii="黑体" w:hAnsi="黑体" w:eastAsia="黑体"/>
          <w:b/>
          <w:color w:val="000000" w:themeColor="text1"/>
          <w:sz w:val="44"/>
          <w:szCs w:val="44"/>
          <w14:textFill>
            <w14:solidFill>
              <w14:schemeClr w14:val="tx1"/>
            </w14:solidFill>
          </w14:textFill>
        </w:rPr>
        <w:br w:type="page"/>
      </w:r>
    </w:p>
    <w:p>
      <w:pPr>
        <w:numPr>
          <w:ilvl w:val="0"/>
          <w:numId w:val="5"/>
        </w:numPr>
        <w:spacing w:line="600" w:lineRule="exact"/>
        <w:ind w:firstLine="662" w:firstLineChars="150"/>
        <w:jc w:val="center"/>
        <w:outlineLvl w:val="0"/>
        <w:rPr>
          <w:rStyle w:val="30"/>
          <w:rFonts w:ascii="黑体" w:hAnsi="黑体" w:eastAsia="黑体"/>
          <w:b w:val="0"/>
          <w:color w:val="000000" w:themeColor="text1"/>
          <w14:textFill>
            <w14:solidFill>
              <w14:schemeClr w14:val="tx1"/>
            </w14:solidFill>
          </w14:textFill>
        </w:rPr>
      </w:pPr>
      <w:bookmarkStart w:id="72" w:name="_Toc15023"/>
      <w:r>
        <w:rPr>
          <w:rFonts w:hint="eastAsia" w:ascii="黑体" w:hAnsi="黑体" w:eastAsia="黑体"/>
          <w:b/>
          <w:color w:val="000000" w:themeColor="text1"/>
          <w:sz w:val="44"/>
          <w:szCs w:val="44"/>
          <w14:textFill>
            <w14:solidFill>
              <w14:schemeClr w14:val="tx1"/>
            </w14:solidFill>
          </w14:textFill>
        </w:rPr>
        <w:t>名</w:t>
      </w:r>
      <w:r>
        <w:rPr>
          <w:rStyle w:val="30"/>
          <w:rFonts w:hint="eastAsia" w:ascii="黑体" w:hAnsi="黑体" w:eastAsia="黑体"/>
          <w:b w:val="0"/>
          <w:color w:val="000000" w:themeColor="text1"/>
          <w14:textFill>
            <w14:solidFill>
              <w14:schemeClr w14:val="tx1"/>
            </w14:solidFill>
          </w14:textFill>
        </w:rPr>
        <w:t>词解释</w:t>
      </w:r>
      <w:bookmarkEnd w:id="70"/>
      <w:bookmarkEnd w:id="71"/>
      <w:bookmarkEnd w:id="72"/>
    </w:p>
    <w:p>
      <w:pPr>
        <w:overflowPunct w:val="0"/>
        <w:spacing w:line="600" w:lineRule="exact"/>
        <w:ind w:firstLine="642" w:firstLineChars="200"/>
        <w:rPr>
          <w:rFonts w:ascii="仿宋_GB2312" w:eastAsia="仿宋_GB2312"/>
          <w:b/>
          <w:color w:val="000000" w:themeColor="text1"/>
          <w:sz w:val="32"/>
          <w:szCs w:val="32"/>
          <w14:textFill>
            <w14:solidFill>
              <w14:schemeClr w14:val="tx1"/>
            </w14:solidFill>
          </w14:textFill>
        </w:rPr>
      </w:pPr>
    </w:p>
    <w:p>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1.财政拨款收入：指单位从同级财政部门取得的财政预算资金。</w:t>
      </w:r>
    </w:p>
    <w:p>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2.事业收入：指事业单位开展专业业务活动及辅助活动取得的收入。</w:t>
      </w:r>
    </w:p>
    <w:p>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3.经营收入：指事业单位在专业业务活动及其辅助活动之外开展非独立核算经营活动取得的收入。</w:t>
      </w:r>
    </w:p>
    <w:p>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4.其他收入：指单位取得的除上述收入以外的各项收入。</w:t>
      </w:r>
    </w:p>
    <w:p>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6.年初结转和结余：指以前年度尚未完成、结转到本年按有关规定继续使用的资金。</w:t>
      </w:r>
    </w:p>
    <w:p>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7.结余分配：指事业单位按照事业单位会计制度的规定从非财政补助结余中分配的事业基金和职工福利基金等。</w:t>
      </w:r>
    </w:p>
    <w:p>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8、年末结转和结余：指单位按有关规定结转到下年或以后年度继续使用的资金。</w:t>
      </w:r>
    </w:p>
    <w:p>
      <w:pPr>
        <w:pStyle w:val="22"/>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9．一般公共服务（类）商贸事务（款）其他商贸事务支出（项）：指商贸事务方面的支出。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hAnsi="TimesNewRoman" w:eastAsia="仿宋_GB2312"/>
          <w:color w:val="000000" w:themeColor="text1"/>
          <w:sz w:val="32"/>
          <w:szCs w:val="32"/>
          <w14:textFill>
            <w14:solidFill>
              <w14:schemeClr w14:val="tx1"/>
            </w14:solidFill>
          </w14:textFill>
        </w:rPr>
        <w:t>10</w:t>
      </w:r>
      <w:r>
        <w:rPr>
          <w:rFonts w:hint="eastAsia" w:ascii="仿宋_GB2312" w:hAnsi="仿宋_GB2312" w:eastAsia="仿宋_GB2312"/>
          <w:color w:val="000000" w:themeColor="text1"/>
          <w:sz w:val="32"/>
          <w:szCs w:val="32"/>
          <w14:textFill>
            <w14:solidFill>
              <w14:schemeClr w14:val="tx1"/>
            </w14:solidFill>
          </w14:textFill>
        </w:rPr>
        <w:t>．社会保障和就业（类）行政事业单位离退休（款）未归口管理的行政单位离退休（项）：指未实行归口管理的行政单位（包括实行公务员管理的事业单位）开支的离退休支出。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11</w:t>
      </w:r>
      <w:r>
        <w:rPr>
          <w:rFonts w:hint="eastAsia" w:ascii="仿宋_GB2312" w:hAnsi="仿宋_GB2312" w:eastAsia="仿宋_GB2312"/>
          <w:color w:val="000000" w:themeColor="text1"/>
          <w:sz w:val="32"/>
          <w:szCs w:val="32"/>
          <w14:textFill>
            <w14:solidFill>
              <w14:schemeClr w14:val="tx1"/>
            </w14:solidFill>
          </w14:textFill>
        </w:rPr>
        <w:t>．社会保障和就业（类）行政事业单位离退休（款）机关事业单位基本养老保险缴费支出（项）：指机关事业单位实施养老保险制度由单位缴纳的基本养老保险费支出。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12</w:t>
      </w:r>
      <w:r>
        <w:rPr>
          <w:rFonts w:hint="eastAsia" w:ascii="仿宋_GB2312" w:hAnsi="仿宋_GB2312" w:eastAsia="仿宋_GB2312"/>
          <w:color w:val="000000" w:themeColor="text1"/>
          <w:sz w:val="32"/>
          <w:szCs w:val="32"/>
          <w14:textFill>
            <w14:solidFill>
              <w14:schemeClr w14:val="tx1"/>
            </w14:solidFill>
          </w14:textFill>
        </w:rPr>
        <w:t>．社会保障和就业（类）行政事业单位离退休（款）机关事业单位职业年金缴费支出（项）：指机关事业单位实施养老保险制度由单位实际缴纳的职业年金支出。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13</w:t>
      </w:r>
      <w:r>
        <w:rPr>
          <w:rFonts w:hint="eastAsia" w:ascii="仿宋_GB2312" w:hAnsi="仿宋_GB2312" w:eastAsia="仿宋_GB2312"/>
          <w:color w:val="000000" w:themeColor="text1"/>
          <w:sz w:val="32"/>
          <w:szCs w:val="32"/>
          <w14:textFill>
            <w14:solidFill>
              <w14:schemeClr w14:val="tx1"/>
            </w14:solidFill>
          </w14:textFill>
        </w:rPr>
        <w:t>．社会保障和就业（类）抚恤（款）死亡抚恤（项）：指按规定用于烈士和牺牲、病故人员家属的一次性和定期抚恤金以及丧葬补助费。</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14</w:t>
      </w:r>
      <w:r>
        <w:rPr>
          <w:rFonts w:hint="eastAsia" w:ascii="仿宋_GB2312" w:hAnsi="仿宋_GB2312" w:eastAsia="仿宋_GB2312"/>
          <w:color w:val="000000" w:themeColor="text1"/>
          <w:sz w:val="32"/>
          <w:szCs w:val="32"/>
          <w14:textFill>
            <w14:solidFill>
              <w14:schemeClr w14:val="tx1"/>
            </w14:solidFill>
          </w14:textFill>
        </w:rPr>
        <w:t>．社会保障和就业（类）其他社会保障和就业支出（款）其他社会保障和就业支出（项）：指其他用于社会保障和就业方面的支出。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15</w:t>
      </w:r>
      <w:r>
        <w:rPr>
          <w:rFonts w:hint="eastAsia" w:ascii="仿宋_GB2312" w:hAnsi="仿宋_GB2312" w:eastAsia="仿宋_GB2312"/>
          <w:color w:val="000000" w:themeColor="text1"/>
          <w:sz w:val="32"/>
          <w:szCs w:val="32"/>
          <w14:textFill>
            <w14:solidFill>
              <w14:schemeClr w14:val="tx1"/>
            </w14:solidFill>
          </w14:textFill>
        </w:rPr>
        <w:t>．医疗卫生与计划生育（类）行政事业单位医疗（款）行政单位医疗（项）：指财政部门集中安排的行政单位基本医疗保险缴费经费，未参加医疗保险的行政单位的公费医疗经费，按国家规定享受离休人员、红军老战士待遇人员的医疗经费。</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16</w:t>
      </w:r>
      <w:r>
        <w:rPr>
          <w:rFonts w:hint="eastAsia" w:ascii="仿宋_GB2312" w:hAnsi="仿宋_GB2312" w:eastAsia="仿宋_GB2312"/>
          <w:color w:val="000000" w:themeColor="text1"/>
          <w:sz w:val="32"/>
          <w:szCs w:val="32"/>
          <w14:textFill>
            <w14:solidFill>
              <w14:schemeClr w14:val="tx1"/>
            </w14:solidFill>
          </w14:textFill>
        </w:rPr>
        <w:t>．医疗卫生与计划生育（类）行政事业单位医疗（款）事业单位医疗（项）：指财政部门集中安排的事业单位基本医疗保险缴费经费，未参加医疗保险的事业单位的公费医疗经费，按国家规定享受离休人员待遇的医疗经费。</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17</w:t>
      </w:r>
      <w:r>
        <w:rPr>
          <w:rFonts w:hint="eastAsia" w:ascii="仿宋_GB2312" w:hAnsi="仿宋_GB2312" w:eastAsia="仿宋_GB2312"/>
          <w:color w:val="000000" w:themeColor="text1"/>
          <w:sz w:val="32"/>
          <w:szCs w:val="32"/>
          <w14:textFill>
            <w14:solidFill>
              <w14:schemeClr w14:val="tx1"/>
            </w14:solidFill>
          </w14:textFill>
        </w:rPr>
        <w:t>．医疗卫生与计划生育（类）行政事业单位医疗（款）公务员医疗补助（项）：指财政部门集中安排的公务员医疗补助经费。</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18</w:t>
      </w:r>
      <w:r>
        <w:rPr>
          <w:rFonts w:hint="eastAsia" w:ascii="仿宋_GB2312" w:hAnsi="仿宋_GB2312" w:eastAsia="仿宋_GB2312"/>
          <w:color w:val="000000" w:themeColor="text1"/>
          <w:sz w:val="32"/>
          <w:szCs w:val="32"/>
          <w14:textFill>
            <w14:solidFill>
              <w14:schemeClr w14:val="tx1"/>
            </w14:solidFill>
          </w14:textFill>
        </w:rPr>
        <w:t>．节能环保（类）污染防治（款）其他污染防治支出（项）：指其他用于污染防治方面的支出。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19</w:t>
      </w:r>
      <w:r>
        <w:rPr>
          <w:rFonts w:hint="eastAsia" w:ascii="仿宋_GB2312" w:hAnsi="仿宋_GB2312" w:eastAsia="仿宋_GB2312"/>
          <w:color w:val="000000" w:themeColor="text1"/>
          <w:sz w:val="32"/>
          <w:szCs w:val="32"/>
          <w14:textFill>
            <w14:solidFill>
              <w14:schemeClr w14:val="tx1"/>
            </w14:solidFill>
          </w14:textFill>
        </w:rPr>
        <w:t>．农林水（类）农业（款）行政运行（项）：指行政单位（包括实行公务员管理的事业单位）的基本支出。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20．农林水（类）农业（款）一般行政管理事务（项）：指行政单位（包括实行公务员管理的事业单位）未单独设置项级科目的其他项目支出。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21</w:t>
      </w:r>
      <w:r>
        <w:rPr>
          <w:rFonts w:hint="eastAsia" w:ascii="仿宋_GB2312" w:hAnsi="仿宋_GB2312" w:eastAsia="仿宋_GB2312"/>
          <w:color w:val="000000" w:themeColor="text1"/>
          <w:sz w:val="32"/>
          <w:szCs w:val="32"/>
          <w14:textFill>
            <w14:solidFill>
              <w14:schemeClr w14:val="tx1"/>
            </w14:solidFill>
          </w14:textFill>
        </w:rPr>
        <w:t>．农林水（类）农业（款）事业运行（项）：指用于农业事业单位支出，事业单位设施、系统运行与资产维护等方面的支出。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22</w:t>
      </w:r>
      <w:r>
        <w:rPr>
          <w:rFonts w:hint="eastAsia" w:ascii="仿宋_GB2312" w:hAnsi="仿宋_GB2312" w:eastAsia="仿宋_GB2312"/>
          <w:color w:val="000000" w:themeColor="text1"/>
          <w:sz w:val="32"/>
          <w:szCs w:val="32"/>
          <w14:textFill>
            <w14:solidFill>
              <w14:schemeClr w14:val="tx1"/>
            </w14:solidFill>
          </w14:textFill>
        </w:rPr>
        <w:t>．农林水（类）农业（款）病虫害控制（项）：指用于病虫鼠害及疫情监测、预报、预防、控制、检疫、防疫所需的仪器、设施、药物、疫苗、种苗、疫畜（禽、鱼、植物）防治、扑杀补偿及劳务补助、菌（毒）种保藏及动植物及其产品检疫、检测等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23</w:t>
      </w:r>
      <w:r>
        <w:rPr>
          <w:rFonts w:hint="eastAsia" w:ascii="仿宋_GB2312" w:hAnsi="仿宋_GB2312" w:eastAsia="仿宋_GB2312"/>
          <w:color w:val="000000" w:themeColor="text1"/>
          <w:sz w:val="32"/>
          <w:szCs w:val="32"/>
          <w14:textFill>
            <w14:solidFill>
              <w14:schemeClr w14:val="tx1"/>
            </w14:solidFill>
          </w14:textFill>
        </w:rPr>
        <w:t>．农林水（类）农业（款）农产品质量安全（项）：指用于农业质量标准制定、实施和监督、投入品监管、残留监控，农产品质量认证、普查、标准化生产示范等方面的支出。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24</w:t>
      </w:r>
      <w:r>
        <w:rPr>
          <w:rFonts w:hint="eastAsia" w:ascii="仿宋_GB2312" w:hAnsi="仿宋_GB2312" w:eastAsia="仿宋_GB2312"/>
          <w:color w:val="000000" w:themeColor="text1"/>
          <w:sz w:val="32"/>
          <w:szCs w:val="32"/>
          <w14:textFill>
            <w14:solidFill>
              <w14:schemeClr w14:val="tx1"/>
            </w14:solidFill>
          </w14:textFill>
        </w:rPr>
        <w:t>．农林水（类）农业（款）执法监管（项）：指用于农业法制建设、执法监督、纠纷处理、行政复议诉讼，安全生产、农产品质量监管、农资打假与市场监管，草原、农机监理、跨区作业管理、农业机械使用跟踪调查及试验鉴定，渔政、兽医医政、药政管理、防疫检疫监督管理及实验室生物安全管理、农业基本建设项目监管等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25</w:t>
      </w:r>
      <w:r>
        <w:rPr>
          <w:rFonts w:hint="eastAsia" w:ascii="仿宋_GB2312" w:hAnsi="仿宋_GB2312" w:eastAsia="仿宋_GB2312"/>
          <w:color w:val="000000" w:themeColor="text1"/>
          <w:sz w:val="32"/>
          <w:szCs w:val="32"/>
          <w14:textFill>
            <w14:solidFill>
              <w14:schemeClr w14:val="tx1"/>
            </w14:solidFill>
          </w14:textFill>
        </w:rPr>
        <w:t>．农林水（类）农业（款）统计监测与信息服务（项）：指用于农业统计调查与信息收集、整理、分析、发布，以及农业自然资源调查和农业区划等方面的支出。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26</w:t>
      </w:r>
      <w:r>
        <w:rPr>
          <w:rFonts w:hint="eastAsia" w:ascii="仿宋_GB2312" w:hAnsi="仿宋_GB2312" w:eastAsia="仿宋_GB2312"/>
          <w:color w:val="000000" w:themeColor="text1"/>
          <w:sz w:val="32"/>
          <w:szCs w:val="32"/>
          <w14:textFill>
            <w14:solidFill>
              <w14:schemeClr w14:val="tx1"/>
            </w14:solidFill>
          </w14:textFill>
        </w:rPr>
        <w:t>．农林水（类）农业（款）对外交流与合作（项）：指对外农业交流合作活动，领导人出访后续项目，招待来访、参观以及来华参加各项国际活动的外国代表团、对外联络等方面的支出。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27</w:t>
      </w:r>
      <w:r>
        <w:rPr>
          <w:rFonts w:hint="eastAsia" w:ascii="仿宋_GB2312" w:hAnsi="仿宋_GB2312" w:eastAsia="仿宋_GB2312"/>
          <w:color w:val="000000" w:themeColor="text1"/>
          <w:sz w:val="32"/>
          <w:szCs w:val="32"/>
          <w14:textFill>
            <w14:solidFill>
              <w14:schemeClr w14:val="tx1"/>
            </w14:solidFill>
          </w14:textFill>
        </w:rPr>
        <w:t>．农林水（类）农业（款）防灾救灾（项）：指对农业生产因遭受自然、生物灾害损失给予的补助，促进农业防灾增产措施补助，海难救助补助，草原扑火防火及因其他灾害导致农牧渔业生产者损失给予的补助。</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28</w:t>
      </w:r>
      <w:r>
        <w:rPr>
          <w:rFonts w:hint="eastAsia" w:ascii="仿宋_GB2312" w:hAnsi="仿宋_GB2312" w:eastAsia="仿宋_GB2312"/>
          <w:color w:val="000000" w:themeColor="text1"/>
          <w:sz w:val="32"/>
          <w:szCs w:val="32"/>
          <w14:textFill>
            <w14:solidFill>
              <w14:schemeClr w14:val="tx1"/>
            </w14:solidFill>
          </w14:textFill>
        </w:rPr>
        <w:t>．农林水（类）农业（款）农业生产支持补贴（项）：指对种粮农民直接补贴，对农业生产资料补贴、技术物化补贴，推广先进适用农机农艺技术等方面支出。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29</w:t>
      </w:r>
      <w:r>
        <w:rPr>
          <w:rFonts w:hint="eastAsia" w:ascii="仿宋_GB2312" w:hAnsi="仿宋_GB2312" w:eastAsia="仿宋_GB2312"/>
          <w:color w:val="000000" w:themeColor="text1"/>
          <w:sz w:val="32"/>
          <w:szCs w:val="32"/>
          <w14:textFill>
            <w14:solidFill>
              <w14:schemeClr w14:val="tx1"/>
            </w14:solidFill>
          </w14:textFill>
        </w:rPr>
        <w:t>．农林水（类）农业（款）农村公益事业（项）：指对农村公益事业、垦区公益设施建设及农村能源综合建设等方面的补助支出。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30</w:t>
      </w:r>
      <w:r>
        <w:rPr>
          <w:rFonts w:hint="eastAsia" w:ascii="仿宋_GB2312" w:hAnsi="仿宋_GB2312" w:eastAsia="仿宋_GB2312"/>
          <w:color w:val="000000" w:themeColor="text1"/>
          <w:sz w:val="32"/>
          <w:szCs w:val="32"/>
          <w14:textFill>
            <w14:solidFill>
              <w14:schemeClr w14:val="tx1"/>
            </w14:solidFill>
          </w14:textFill>
        </w:rPr>
        <w:t>．农林水（类）农业（款）农业资源保护修复与利用（项）：指用于农业耕地保护、修复与建设，草原草场生态保护、改良、利用与建设，渔业水产及水生生物资源保护与利用等方面的支出。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31</w:t>
      </w:r>
      <w:r>
        <w:rPr>
          <w:rFonts w:hint="eastAsia" w:ascii="仿宋_GB2312" w:hAnsi="仿宋_GB2312" w:eastAsia="仿宋_GB2312"/>
          <w:color w:val="000000" w:themeColor="text1"/>
          <w:sz w:val="32"/>
          <w:szCs w:val="32"/>
          <w14:textFill>
            <w14:solidFill>
              <w14:schemeClr w14:val="tx1"/>
            </w14:solidFill>
          </w14:textFill>
        </w:rPr>
        <w:t>．农林水（类）农业（款）成品油价格改革对渔业的补贴（项）：指成品油价格改革对渔业的补贴。</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32</w:t>
      </w:r>
      <w:r>
        <w:rPr>
          <w:rFonts w:hint="eastAsia" w:ascii="仿宋_GB2312" w:hAnsi="仿宋_GB2312" w:eastAsia="仿宋_GB2312"/>
          <w:color w:val="000000" w:themeColor="text1"/>
          <w:sz w:val="32"/>
          <w:szCs w:val="32"/>
          <w14:textFill>
            <w14:solidFill>
              <w14:schemeClr w14:val="tx1"/>
            </w14:solidFill>
          </w14:textFill>
        </w:rPr>
        <w:t>．农林水（类）农业（款）其他农业支出（项）：指其他用于农业方面的支出。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33</w:t>
      </w:r>
      <w:r>
        <w:rPr>
          <w:rFonts w:hint="eastAsia" w:ascii="仿宋_GB2312" w:hAnsi="仿宋_GB2312" w:eastAsia="仿宋_GB2312"/>
          <w:color w:val="000000" w:themeColor="text1"/>
          <w:sz w:val="32"/>
          <w:szCs w:val="32"/>
          <w14:textFill>
            <w14:solidFill>
              <w14:schemeClr w14:val="tx1"/>
            </w14:solidFill>
          </w14:textFill>
        </w:rPr>
        <w:t>．农林水（类）其他农林水支出（款）其他农林水支出（项）：指除化解债务支出以外其他用于农林水方面的支出。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34</w:t>
      </w:r>
      <w:r>
        <w:rPr>
          <w:rFonts w:hint="eastAsia" w:ascii="仿宋_GB2312" w:hAnsi="仿宋_GB2312" w:eastAsia="仿宋_GB2312"/>
          <w:color w:val="000000" w:themeColor="text1"/>
          <w:sz w:val="32"/>
          <w:szCs w:val="32"/>
          <w14:textFill>
            <w14:solidFill>
              <w14:schemeClr w14:val="tx1"/>
            </w14:solidFill>
          </w14:textFill>
        </w:rPr>
        <w:t>．住房保障（类）住房改革支出（款）住房公积金（项）：指行政事业单位按人力资源和社会保障部、财政部规定的基本工资和津贴补贴以及规定比例为职工缴纳的住房公积金。</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35</w:t>
      </w:r>
      <w:r>
        <w:rPr>
          <w:rFonts w:hint="eastAsia" w:ascii="仿宋_GB2312" w:hAnsi="仿宋_GB2312" w:eastAsia="仿宋_GB2312"/>
          <w:color w:val="000000" w:themeColor="text1"/>
          <w:sz w:val="32"/>
          <w:szCs w:val="32"/>
          <w14:textFill>
            <w14:solidFill>
              <w14:schemeClr w14:val="tx1"/>
            </w14:solidFill>
          </w14:textFill>
        </w:rPr>
        <w:t>．住房保障（类）住房改革支出（款）购房补贴（项）：指按房改政策规定，行政事业单位向符合条件职工（含离退休人员）、军队（含武警）向转役复员离退休人员发放的用于购买住房的补贴。</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36</w:t>
      </w:r>
      <w:r>
        <w:rPr>
          <w:rFonts w:hint="eastAsia" w:ascii="仿宋_GB2312" w:hAnsi="仿宋_GB2312" w:eastAsia="仿宋_GB2312"/>
          <w:color w:val="000000" w:themeColor="text1"/>
          <w:sz w:val="32"/>
          <w:szCs w:val="32"/>
          <w14:textFill>
            <w14:solidFill>
              <w14:schemeClr w14:val="tx1"/>
            </w14:solidFill>
          </w14:textFill>
        </w:rPr>
        <w:t>．其他（类）其他支出（款）其他支出（项）：指其他不能划分到具体功能科目中的支出项目。</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37</w:t>
      </w:r>
      <w:r>
        <w:rPr>
          <w:rFonts w:hint="eastAsia" w:ascii="仿宋_GB2312" w:hAnsi="仿宋_GB2312" w:eastAsia="仿宋_GB2312"/>
          <w:color w:val="000000" w:themeColor="text1"/>
          <w:sz w:val="32"/>
          <w:szCs w:val="32"/>
          <w14:textFill>
            <w14:solidFill>
              <w14:schemeClr w14:val="tx1"/>
            </w14:solidFill>
          </w14:textFill>
        </w:rPr>
        <w:t>．基本支出：指为保障机构正常运转、完成日常工作任务而发生的各项支出，包括人员经费和日常公用经费。</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38</w:t>
      </w:r>
      <w:r>
        <w:rPr>
          <w:rFonts w:hint="eastAsia" w:ascii="仿宋_GB2312" w:hAnsi="仿宋_GB2312" w:eastAsia="仿宋_GB2312"/>
          <w:color w:val="000000" w:themeColor="text1"/>
          <w:sz w:val="32"/>
          <w:szCs w:val="32"/>
          <w14:textFill>
            <w14:solidFill>
              <w14:schemeClr w14:val="tx1"/>
            </w14:solidFill>
          </w14:textFill>
        </w:rPr>
        <w:t>．项目支出：指在基本支出之外为完成特定行政任务或事业发展目标所发生的支出。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39</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Times New Roman,Bold"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三公</w:t>
      </w:r>
      <w:r>
        <w:rPr>
          <w:rFonts w:hint="eastAsia" w:ascii="仿宋_GB2312" w:hAnsi="Times New Roman,Bold"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经费：指部门用财政拨款安排的因公出国（境）费、公务用车购</w:t>
      </w:r>
      <w:r>
        <w:rPr>
          <w:rFonts w:hint="eastAsia" w:ascii="仿宋_GB2312" w:hAnsi="宋体" w:eastAsia="宋体" w:cs="宋体"/>
          <w:color w:val="000000" w:themeColor="text1"/>
          <w:sz w:val="32"/>
          <w:szCs w:val="32"/>
          <w14:textFill>
            <w14:solidFill>
              <w14:schemeClr w14:val="tx1"/>
            </w14:solidFill>
          </w14:textFill>
        </w:rPr>
        <w:t>臵</w:t>
      </w:r>
      <w:r>
        <w:rPr>
          <w:rFonts w:hint="eastAsia" w:ascii="仿宋_GB2312" w:hAnsi="仿宋_GB2312" w:eastAsia="仿宋_GB2312" w:cs="仿宋_GB2312"/>
          <w:color w:val="000000" w:themeColor="text1"/>
          <w:sz w:val="32"/>
          <w:szCs w:val="32"/>
          <w14:textFill>
            <w14:solidFill>
              <w14:schemeClr w14:val="tx1"/>
            </w14:solidFill>
          </w14:textFill>
        </w:rPr>
        <w:t>及运行费和公务接待费。其中，因</w:t>
      </w:r>
      <w:r>
        <w:rPr>
          <w:rFonts w:hint="eastAsia" w:ascii="仿宋_GB2312" w:hAnsi="仿宋_GB2312" w:eastAsia="仿宋_GB2312"/>
          <w:color w:val="000000" w:themeColor="text1"/>
          <w:sz w:val="32"/>
          <w:szCs w:val="32"/>
          <w14:textFill>
            <w14:solidFill>
              <w14:schemeClr w14:val="tx1"/>
            </w14:solidFill>
          </w14:textFill>
        </w:rPr>
        <w:t>公出国（境）费反映单位公务出国（境）的国际旅费、国外城市间交通费、住宿费、伙食费、培训费、公杂费等支出；公务用车购</w:t>
      </w:r>
      <w:r>
        <w:rPr>
          <w:rFonts w:hint="eastAsia" w:ascii="仿宋_GB2312" w:hAnsi="宋体" w:eastAsia="宋体" w:cs="宋体"/>
          <w:color w:val="000000" w:themeColor="text1"/>
          <w:sz w:val="32"/>
          <w:szCs w:val="32"/>
          <w14:textFill>
            <w14:solidFill>
              <w14:schemeClr w14:val="tx1"/>
            </w14:solidFill>
          </w14:textFill>
        </w:rPr>
        <w:t>臵</w:t>
      </w:r>
      <w:r>
        <w:rPr>
          <w:rFonts w:hint="eastAsia" w:ascii="仿宋_GB2312" w:hAnsi="仿宋_GB2312" w:eastAsia="仿宋_GB2312" w:cs="仿宋_GB2312"/>
          <w:color w:val="000000" w:themeColor="text1"/>
          <w:sz w:val="32"/>
          <w:szCs w:val="32"/>
          <w14:textFill>
            <w14:solidFill>
              <w14:schemeClr w14:val="tx1"/>
            </w14:solidFill>
          </w14:textFill>
        </w:rPr>
        <w:t>及运行费反映单位公务用车车辆购</w:t>
      </w:r>
      <w:r>
        <w:rPr>
          <w:rFonts w:hint="eastAsia" w:ascii="仿宋_GB2312" w:hAnsi="宋体" w:eastAsia="宋体" w:cs="宋体"/>
          <w:color w:val="000000" w:themeColor="text1"/>
          <w:sz w:val="32"/>
          <w:szCs w:val="32"/>
          <w14:textFill>
            <w14:solidFill>
              <w14:schemeClr w14:val="tx1"/>
            </w14:solidFill>
          </w14:textFill>
        </w:rPr>
        <w:t>臵</w:t>
      </w:r>
      <w:r>
        <w:rPr>
          <w:rFonts w:hint="eastAsia" w:ascii="仿宋_GB2312" w:hAnsi="仿宋_GB2312" w:eastAsia="仿宋_GB2312" w:cs="仿宋_GB2312"/>
          <w:color w:val="000000" w:themeColor="text1"/>
          <w:sz w:val="32"/>
          <w:szCs w:val="32"/>
          <w14:textFill>
            <w14:solidFill>
              <w14:schemeClr w14:val="tx1"/>
            </w14:solidFill>
          </w14:textFill>
        </w:rPr>
        <w:t>支出（含</w:t>
      </w:r>
      <w:r>
        <w:rPr>
          <w:rFonts w:hint="eastAsia" w:ascii="仿宋_GB2312" w:hAnsi="仿宋_GB2312" w:eastAsia="仿宋_GB2312"/>
          <w:color w:val="000000" w:themeColor="text1"/>
          <w:sz w:val="32"/>
          <w:szCs w:val="32"/>
          <w14:textFill>
            <w14:solidFill>
              <w14:schemeClr w14:val="tx1"/>
            </w14:solidFill>
          </w14:textFill>
        </w:rPr>
        <w:t>车辆购</w:t>
      </w:r>
      <w:r>
        <w:rPr>
          <w:rFonts w:hint="eastAsia" w:ascii="仿宋_GB2312" w:hAnsi="宋体" w:eastAsia="宋体" w:cs="宋体"/>
          <w:color w:val="000000" w:themeColor="text1"/>
          <w:sz w:val="32"/>
          <w:szCs w:val="32"/>
          <w14:textFill>
            <w14:solidFill>
              <w14:schemeClr w14:val="tx1"/>
            </w14:solidFill>
          </w14:textFill>
        </w:rPr>
        <w:t>臵</w:t>
      </w:r>
      <w:r>
        <w:rPr>
          <w:rFonts w:hint="eastAsia" w:ascii="仿宋_GB2312" w:hAnsi="仿宋_GB2312" w:eastAsia="仿宋_GB2312" w:cs="仿宋_GB2312"/>
          <w:color w:val="000000" w:themeColor="text1"/>
          <w:sz w:val="32"/>
          <w:szCs w:val="32"/>
          <w14:textFill>
            <w14:solidFill>
              <w14:schemeClr w14:val="tx1"/>
            </w14:solidFill>
          </w14:textFill>
        </w:rPr>
        <w:t>税、牌照费）及租用费、燃料费、维修费、过路</w:t>
      </w:r>
      <w:r>
        <w:rPr>
          <w:rFonts w:hint="eastAsia" w:ascii="仿宋_GB2312" w:hAnsi="仿宋_GB2312" w:eastAsia="仿宋_GB2312"/>
          <w:color w:val="000000" w:themeColor="text1"/>
          <w:sz w:val="32"/>
          <w:szCs w:val="32"/>
          <w14:textFill>
            <w14:solidFill>
              <w14:schemeClr w14:val="tx1"/>
            </w14:solidFill>
          </w14:textFill>
        </w:rPr>
        <w:t>过桥费、保险费等支出；公务接待费反映单位按规定开支的各类公务接待（含外宾接待）支出。</w:t>
      </w:r>
    </w:p>
    <w:p>
      <w:pPr>
        <w:pStyle w:val="22"/>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40．机关运行经费：指为保障行政单位（含参照公务员法管理的事业单位）运行用于购买货物和服务的各项资金，包括办公及印刷费、邮电费、差旅费、会议费、福利费、日常维修费、专用材料及一般设备购</w:t>
      </w:r>
      <w:r>
        <w:rPr>
          <w:rFonts w:hint="eastAsia" w:ascii="仿宋_GB2312" w:hAnsi="宋体" w:eastAsia="宋体" w:cs="宋体"/>
          <w:color w:val="000000" w:themeColor="text1"/>
          <w:sz w:val="32"/>
          <w:szCs w:val="32"/>
          <w14:textFill>
            <w14:solidFill>
              <w14:schemeClr w14:val="tx1"/>
            </w14:solidFill>
          </w14:textFill>
        </w:rPr>
        <w:t>臵</w:t>
      </w:r>
      <w:r>
        <w:rPr>
          <w:rFonts w:hint="eastAsia" w:ascii="仿宋_GB2312" w:hAnsi="仿宋_GB2312" w:eastAsia="仿宋_GB2312" w:cs="仿宋_GB2312"/>
          <w:color w:val="000000" w:themeColor="text1"/>
          <w:sz w:val="32"/>
          <w:szCs w:val="32"/>
          <w14:textFill>
            <w14:solidFill>
              <w14:schemeClr w14:val="tx1"/>
            </w14:solidFill>
          </w14:textFill>
        </w:rPr>
        <w:t>费、办公用房水电费、</w:t>
      </w:r>
      <w:r>
        <w:rPr>
          <w:rFonts w:hint="eastAsia" w:ascii="仿宋_GB2312" w:hAnsi="仿宋_GB2312" w:eastAsia="仿宋_GB2312"/>
          <w:color w:val="000000" w:themeColor="text1"/>
          <w:sz w:val="32"/>
          <w:szCs w:val="32"/>
          <w14:textFill>
            <w14:solidFill>
              <w14:schemeClr w14:val="tx1"/>
            </w14:solidFill>
          </w14:textFill>
        </w:rPr>
        <w:t>办公用房取暖费、办公用房物业管理费、公务用车运行维护费以及其他费用。</w:t>
      </w:r>
    </w:p>
    <w:p>
      <w:pPr>
        <w:ind w:firstLine="640" w:firstLineChars="200"/>
        <w:rPr>
          <w:rFonts w:ascii="仿宋_GB2312" w:eastAsia="仿宋_GB2312"/>
          <w:color w:val="000000" w:themeColor="text1"/>
          <w:sz w:val="32"/>
          <w:szCs w:val="32"/>
          <w14:textFill>
            <w14:solidFill>
              <w14:schemeClr w14:val="tx1"/>
            </w14:solidFill>
          </w14:textFill>
        </w:rPr>
      </w:pPr>
    </w:p>
    <w:p>
      <w:pPr>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73" w:name="_Toc15396614"/>
      <w:bookmarkStart w:id="74" w:name="_Toc20473"/>
      <w:r>
        <w:rPr>
          <w:rFonts w:hint="eastAsia" w:ascii="黑体" w:hAnsi="黑体" w:eastAsia="黑体"/>
          <w:color w:val="000000"/>
          <w:sz w:val="44"/>
          <w:szCs w:val="44"/>
        </w:rPr>
        <w:t>第</w:t>
      </w:r>
      <w:r>
        <w:rPr>
          <w:rStyle w:val="24"/>
          <w:rFonts w:hint="eastAsia" w:ascii="黑体" w:hAnsi="黑体" w:eastAsia="黑体"/>
          <w:b w:val="0"/>
        </w:rPr>
        <w:t>四部分 附件</w:t>
      </w:r>
      <w:bookmarkEnd w:id="73"/>
      <w:bookmarkEnd w:id="74"/>
    </w:p>
    <w:p>
      <w:pPr>
        <w:spacing w:line="600" w:lineRule="exact"/>
        <w:jc w:val="left"/>
        <w:outlineLvl w:val="9"/>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600" w:lineRule="exact"/>
        <w:ind w:left="651" w:hanging="651" w:hangingChars="148"/>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农业</w:t>
      </w:r>
      <w:r>
        <w:rPr>
          <w:rFonts w:hint="eastAsia" w:ascii="Times New Roman" w:hAnsi="Times New Roman" w:eastAsia="方正小标宋简体" w:cs="Times New Roman"/>
          <w:sz w:val="44"/>
          <w:szCs w:val="44"/>
          <w:lang w:val="en-US" w:eastAsia="zh-CN"/>
        </w:rPr>
        <w:t>农村</w:t>
      </w:r>
      <w:r>
        <w:rPr>
          <w:rFonts w:hint="eastAsia" w:ascii="Times New Roman" w:hAnsi="Times New Roman" w:eastAsia="方正小标宋简体" w:cs="Times New Roman"/>
          <w:sz w:val="44"/>
          <w:szCs w:val="44"/>
          <w:lang w:eastAsia="zh-CN"/>
        </w:rPr>
        <w:t>局201</w:t>
      </w:r>
      <w:r>
        <w:rPr>
          <w:rFonts w:hint="eastAsia" w:ascii="Times New Roman" w:hAnsi="Times New Roman" w:eastAsia="方正小标宋简体" w:cs="Times New Roman"/>
          <w:sz w:val="44"/>
          <w:szCs w:val="44"/>
          <w:lang w:val="en-US" w:eastAsia="zh-CN"/>
        </w:rPr>
        <w:t>9</w:t>
      </w:r>
      <w:r>
        <w:rPr>
          <w:rFonts w:hint="eastAsia" w:ascii="Times New Roman" w:hAnsi="Times New Roman" w:eastAsia="方正小标宋简体" w:cs="Times New Roman"/>
          <w:sz w:val="44"/>
          <w:szCs w:val="44"/>
          <w:lang w:eastAsia="zh-CN"/>
        </w:rPr>
        <w:t>年部门整体支出绩效自评报告</w:t>
      </w:r>
    </w:p>
    <w:p>
      <w:pPr>
        <w:overflowPunct w:val="0"/>
        <w:snapToGrid w:val="0"/>
        <w:spacing w:line="600" w:lineRule="exact"/>
        <w:ind w:firstLine="640" w:firstLineChars="200"/>
        <w:rPr>
          <w:rFonts w:eastAsia="仿宋_GB2312" w:cs="仿宋"/>
          <w:color w:val="000000"/>
          <w:sz w:val="32"/>
          <w:szCs w:val="32"/>
        </w:rPr>
      </w:pPr>
    </w:p>
    <w:p>
      <w:pPr>
        <w:shd w:val="clear" w:color="auto" w:fill="FFFFFF"/>
        <w:overflowPunct w:val="0"/>
        <w:spacing w:line="600" w:lineRule="exact"/>
        <w:ind w:firstLine="640" w:firstLineChars="200"/>
        <w:rPr>
          <w:rFonts w:eastAsia="黑体" w:cs="仿宋"/>
          <w:color w:val="000000"/>
          <w:sz w:val="32"/>
          <w:szCs w:val="32"/>
        </w:rPr>
      </w:pPr>
      <w:r>
        <w:rPr>
          <w:rFonts w:hint="eastAsia" w:hAnsi="黑体" w:eastAsia="黑体" w:cs="仿宋"/>
          <w:color w:val="000000"/>
          <w:sz w:val="32"/>
          <w:szCs w:val="32"/>
        </w:rPr>
        <w:t>一、单位概况</w:t>
      </w:r>
    </w:p>
    <w:p>
      <w:pPr>
        <w:shd w:val="clear" w:color="auto" w:fill="FFFFFF"/>
        <w:overflowPunct w:val="0"/>
        <w:spacing w:line="600" w:lineRule="exact"/>
        <w:ind w:firstLine="642" w:firstLineChars="200"/>
        <w:rPr>
          <w:rFonts w:eastAsia="楷体_GB2312" w:cs="仿宋"/>
          <w:b/>
          <w:color w:val="000000"/>
          <w:sz w:val="32"/>
          <w:szCs w:val="32"/>
        </w:rPr>
      </w:pPr>
      <w:r>
        <w:rPr>
          <w:rFonts w:hint="eastAsia" w:eastAsia="楷体_GB2312" w:cs="仿宋"/>
          <w:b/>
          <w:color w:val="000000"/>
          <w:sz w:val="32"/>
          <w:szCs w:val="32"/>
        </w:rPr>
        <w:t>（一）机构组成</w:t>
      </w:r>
    </w:p>
    <w:p>
      <w:pPr>
        <w:spacing w:line="59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市农业农村局下属二级预算单位4个，其中行政单位1个，参照公务员法管理的事业单位1个，其他事业单位2个。主要包括：遂宁市农业农村局机关、遂宁市农产品安全检测中心、遂宁市农产品质量安全中心、遂宁市农村能源办公室。</w:t>
      </w:r>
    </w:p>
    <w:p>
      <w:pPr>
        <w:shd w:val="clear" w:color="auto" w:fill="FFFFFF"/>
        <w:overflowPunct w:val="0"/>
        <w:spacing w:line="600" w:lineRule="exact"/>
        <w:ind w:firstLine="642" w:firstLineChars="200"/>
        <w:rPr>
          <w:rFonts w:eastAsia="楷体_GB2312" w:cs="仿宋"/>
          <w:b/>
          <w:color w:val="000000"/>
          <w:sz w:val="32"/>
          <w:szCs w:val="32"/>
        </w:rPr>
      </w:pPr>
      <w:r>
        <w:rPr>
          <w:rFonts w:hint="eastAsia" w:eastAsia="楷体_GB2312" w:cs="仿宋"/>
          <w:b/>
          <w:color w:val="000000"/>
          <w:sz w:val="32"/>
          <w:szCs w:val="32"/>
        </w:rPr>
        <w:t>（二）机构职能</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1、</w:t>
      </w:r>
      <w:r>
        <w:rPr>
          <w:rFonts w:hint="eastAsia" w:ascii="Times New Roman" w:hAnsi="Times New Roman" w:eastAsia="仿宋_GB2312"/>
          <w:color w:val="auto"/>
          <w:sz w:val="32"/>
          <w:szCs w:val="32"/>
          <w:highlight w:val="none"/>
        </w:rPr>
        <w:t>统筹研究和组织实施全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“三农”工作的发展战略、中长期规划、政策</w:t>
      </w:r>
      <w:r>
        <w:rPr>
          <w:rFonts w:hint="eastAsia" w:ascii="Times New Roman" w:hAnsi="Times New Roman" w:eastAsia="仿宋_GB2312"/>
          <w:color w:val="auto"/>
          <w:sz w:val="32"/>
          <w:szCs w:val="32"/>
          <w:highlight w:val="none"/>
          <w:lang w:eastAsia="zh-CN"/>
        </w:rPr>
        <w:t>措施</w:t>
      </w:r>
      <w:r>
        <w:rPr>
          <w:rFonts w:hint="eastAsia" w:ascii="Times New Roman" w:hAnsi="Times New Roman" w:eastAsia="仿宋_GB2312"/>
          <w:color w:val="auto"/>
          <w:sz w:val="32"/>
          <w:szCs w:val="32"/>
          <w:highlight w:val="none"/>
        </w:rPr>
        <w:t>。贯彻执行国家有关种植业、</w:t>
      </w:r>
      <w:r>
        <w:rPr>
          <w:rFonts w:hint="eastAsia" w:ascii="Times New Roman" w:hAnsi="Times New Roman" w:eastAsia="仿宋_GB2312"/>
          <w:color w:val="auto"/>
          <w:sz w:val="32"/>
          <w:szCs w:val="32"/>
          <w:highlight w:val="none"/>
          <w:lang w:eastAsia="zh-CN"/>
        </w:rPr>
        <w:t>养殖业</w:t>
      </w:r>
      <w:r>
        <w:rPr>
          <w:rFonts w:hint="eastAsia" w:ascii="Times New Roman" w:hAnsi="Times New Roman" w:eastAsia="仿宋_GB2312"/>
          <w:color w:val="auto"/>
          <w:sz w:val="32"/>
          <w:szCs w:val="32"/>
          <w:highlight w:val="none"/>
        </w:rPr>
        <w:t>、农业机械化等农业领域工作的法律、法规、政策以及</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委、</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政府关于“三农”方面的决策部署。参与涉农</w:t>
      </w:r>
      <w:r>
        <w:rPr>
          <w:rFonts w:hint="eastAsia" w:ascii="Times New Roman" w:hAnsi="Times New Roman" w:eastAsia="仿宋_GB2312"/>
          <w:color w:val="auto"/>
          <w:sz w:val="32"/>
          <w:szCs w:val="32"/>
          <w:highlight w:val="none"/>
          <w:lang w:eastAsia="zh-CN"/>
        </w:rPr>
        <w:t>相关</w:t>
      </w:r>
      <w:r>
        <w:rPr>
          <w:rFonts w:hint="eastAsia" w:ascii="Times New Roman" w:hAnsi="Times New Roman" w:eastAsia="仿宋_GB2312"/>
          <w:color w:val="auto"/>
          <w:sz w:val="32"/>
          <w:szCs w:val="32"/>
          <w:highlight w:val="none"/>
        </w:rPr>
        <w:t>政策</w:t>
      </w:r>
      <w:r>
        <w:rPr>
          <w:rFonts w:hint="eastAsia" w:ascii="Times New Roman" w:hAnsi="Times New Roman" w:eastAsia="仿宋_GB2312"/>
          <w:color w:val="auto"/>
          <w:sz w:val="32"/>
          <w:szCs w:val="32"/>
          <w:highlight w:val="none"/>
          <w:lang w:eastAsia="zh-CN"/>
        </w:rPr>
        <w:t>制定</w:t>
      </w:r>
      <w:r>
        <w:rPr>
          <w:rFonts w:hint="eastAsia" w:ascii="Times New Roman" w:hAnsi="Times New Roman" w:eastAsia="仿宋_GB2312"/>
          <w:color w:val="auto"/>
          <w:sz w:val="32"/>
          <w:szCs w:val="32"/>
          <w:highlight w:val="none"/>
        </w:rPr>
        <w:t>。</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2、</w:t>
      </w:r>
      <w:r>
        <w:rPr>
          <w:rFonts w:hint="eastAsia" w:ascii="Times New Roman" w:hAnsi="Times New Roman" w:eastAsia="仿宋_GB2312"/>
          <w:color w:val="auto"/>
          <w:sz w:val="32"/>
          <w:szCs w:val="32"/>
          <w:highlight w:val="none"/>
        </w:rPr>
        <w:t>统筹实施乡村振兴战略，牵头组织改善全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农村人居环境。统筹推动发展农村社会事业、农村公共服务、农村文化、农村基础设施和乡村治理。指导农业遗产的保护传承和开发利用</w:t>
      </w:r>
      <w:r>
        <w:rPr>
          <w:rFonts w:hint="eastAsia" w:ascii="Times New Roman" w:hAnsi="Times New Roman" w:eastAsia="仿宋_GB2312"/>
          <w:color w:val="auto"/>
          <w:sz w:val="32"/>
          <w:szCs w:val="32"/>
          <w:highlight w:val="none"/>
          <w:lang w:eastAsia="zh-CN"/>
        </w:rPr>
        <w:t>。指导</w:t>
      </w:r>
      <w:r>
        <w:rPr>
          <w:rFonts w:hint="eastAsia" w:ascii="Times New Roman" w:hAnsi="Times New Roman" w:eastAsia="仿宋_GB2312"/>
          <w:color w:val="auto"/>
          <w:sz w:val="32"/>
          <w:szCs w:val="32"/>
          <w:highlight w:val="none"/>
        </w:rPr>
        <w:t>农村精神文明和优秀农耕文化建设。</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3、</w:t>
      </w:r>
      <w:r>
        <w:rPr>
          <w:rFonts w:hint="eastAsia" w:ascii="Times New Roman" w:hAnsi="Times New Roman" w:eastAsia="仿宋_GB2312"/>
          <w:color w:val="auto"/>
          <w:sz w:val="32"/>
          <w:szCs w:val="32"/>
          <w:highlight w:val="none"/>
        </w:rPr>
        <w:t>拟订深化全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农村经济体制改革和巩固完善农村基本经营制度的政策措施。</w:t>
      </w:r>
      <w:r>
        <w:rPr>
          <w:rFonts w:hint="eastAsia" w:ascii="Times New Roman" w:hAnsi="Times New Roman" w:eastAsia="仿宋_GB2312"/>
          <w:color w:val="auto"/>
          <w:sz w:val="32"/>
          <w:szCs w:val="32"/>
          <w:highlight w:val="none"/>
          <w:lang w:eastAsia="zh-CN"/>
        </w:rPr>
        <w:t>指导</w:t>
      </w:r>
      <w:r>
        <w:rPr>
          <w:rFonts w:hint="eastAsia" w:ascii="Times New Roman" w:hAnsi="Times New Roman" w:eastAsia="仿宋_GB2312"/>
          <w:color w:val="auto"/>
          <w:sz w:val="32"/>
          <w:szCs w:val="32"/>
          <w:highlight w:val="none"/>
        </w:rPr>
        <w:t>农民承包地、农村宅基地管理和改革有关工作。负责农村集体产权制度改革，指导农村集体经济组织发展、集体资产和财务管理工作。拟订</w:t>
      </w:r>
      <w:r>
        <w:rPr>
          <w:rFonts w:hint="eastAsia" w:ascii="Times New Roman" w:hAnsi="Times New Roman" w:eastAsia="仿宋_GB2312"/>
          <w:color w:val="auto"/>
          <w:sz w:val="32"/>
          <w:szCs w:val="32"/>
          <w:highlight w:val="none"/>
          <w:lang w:eastAsia="zh-CN"/>
        </w:rPr>
        <w:t>全市</w:t>
      </w:r>
      <w:r>
        <w:rPr>
          <w:rFonts w:hint="eastAsia" w:ascii="Times New Roman" w:hAnsi="Times New Roman" w:eastAsia="仿宋_GB2312"/>
          <w:color w:val="auto"/>
          <w:sz w:val="32"/>
          <w:szCs w:val="32"/>
          <w:highlight w:val="none"/>
        </w:rPr>
        <w:t>农业产业化经营的发展规划与政策并组织实施，指导农民合作经济组织、农业社会化服务体系、新型农业经营主体建设与发展。指导、监督减轻农民负担工作。</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4、</w:t>
      </w:r>
      <w:r>
        <w:rPr>
          <w:rFonts w:hint="eastAsia" w:ascii="Times New Roman" w:hAnsi="Times New Roman" w:eastAsia="仿宋_GB2312"/>
          <w:color w:val="auto"/>
          <w:sz w:val="32"/>
          <w:szCs w:val="32"/>
          <w:highlight w:val="none"/>
        </w:rPr>
        <w:t>指导全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乡村特色产业、农产品加工业（产地初加工）、休闲农业和乡村企业发展工作。指导特色农产品优势区建设和管理工作。组织拟订并实施现代农业园区的政策与规划，负责现代农业园区评定</w:t>
      </w:r>
      <w:r>
        <w:rPr>
          <w:rFonts w:hint="eastAsia" w:ascii="Times New Roman" w:hAnsi="Times New Roman" w:eastAsia="仿宋_GB2312"/>
          <w:color w:val="auto"/>
          <w:sz w:val="32"/>
          <w:szCs w:val="32"/>
          <w:highlight w:val="none"/>
          <w:lang w:eastAsia="zh-CN"/>
        </w:rPr>
        <w:t>或推荐</w:t>
      </w:r>
      <w:r>
        <w:rPr>
          <w:rFonts w:hint="eastAsia" w:ascii="Times New Roman" w:hAnsi="Times New Roman" w:eastAsia="仿宋_GB2312"/>
          <w:color w:val="auto"/>
          <w:sz w:val="32"/>
          <w:szCs w:val="32"/>
          <w:highlight w:val="none"/>
        </w:rPr>
        <w:t>工作。提出促进大宗农产品流通政策和主要农产品进口建议，研究</w:t>
      </w:r>
      <w:r>
        <w:rPr>
          <w:rFonts w:hint="eastAsia" w:ascii="Times New Roman" w:hAnsi="Times New Roman" w:eastAsia="仿宋_GB2312"/>
          <w:color w:val="auto"/>
          <w:sz w:val="32"/>
          <w:szCs w:val="32"/>
          <w:highlight w:val="none"/>
          <w:lang w:eastAsia="zh-CN"/>
        </w:rPr>
        <w:t>拟订</w:t>
      </w:r>
      <w:r>
        <w:rPr>
          <w:rFonts w:hint="eastAsia" w:ascii="Times New Roman" w:hAnsi="Times New Roman" w:eastAsia="仿宋_GB2312"/>
          <w:color w:val="auto"/>
          <w:sz w:val="32"/>
          <w:szCs w:val="32"/>
          <w:highlight w:val="none"/>
        </w:rPr>
        <w:t>大宗农产品市场体系建设与发展规划。培育、保护和发展农产品品牌，组织协调“</w:t>
      </w:r>
      <w:r>
        <w:rPr>
          <w:rFonts w:hint="eastAsia" w:ascii="Times New Roman" w:hAnsi="Times New Roman" w:eastAsia="仿宋_GB2312"/>
          <w:color w:val="auto"/>
          <w:sz w:val="32"/>
          <w:szCs w:val="32"/>
          <w:highlight w:val="none"/>
          <w:lang w:eastAsia="zh-CN"/>
        </w:rPr>
        <w:t>菜</w:t>
      </w:r>
      <w:r>
        <w:rPr>
          <w:rFonts w:hint="eastAsia" w:ascii="Times New Roman" w:hAnsi="Times New Roman" w:eastAsia="仿宋_GB2312"/>
          <w:color w:val="auto"/>
          <w:sz w:val="32"/>
          <w:szCs w:val="32"/>
          <w:highlight w:val="none"/>
        </w:rPr>
        <w:t>篮子”工程有关工作。负责农业信息体系建设，推动数字农业发展。发布农业农村经济信息，监测分析农业农村经济运行。承担农业统计工作。</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5、</w:t>
      </w:r>
      <w:r>
        <w:rPr>
          <w:rFonts w:hint="eastAsia" w:ascii="Times New Roman" w:hAnsi="Times New Roman" w:eastAsia="仿宋_GB2312"/>
          <w:color w:val="auto"/>
          <w:sz w:val="32"/>
          <w:szCs w:val="32"/>
          <w:highlight w:val="none"/>
          <w:lang w:eastAsia="zh-CN"/>
        </w:rPr>
        <w:t>负</w:t>
      </w:r>
      <w:r>
        <w:rPr>
          <w:rFonts w:hint="eastAsia" w:ascii="Times New Roman" w:hAnsi="Times New Roman" w:eastAsia="仿宋_GB2312"/>
          <w:color w:val="auto"/>
          <w:sz w:val="32"/>
          <w:szCs w:val="32"/>
          <w:highlight w:val="none"/>
        </w:rPr>
        <w:t>责全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种植业、</w:t>
      </w:r>
      <w:r>
        <w:rPr>
          <w:rFonts w:hint="eastAsia" w:ascii="Times New Roman" w:hAnsi="Times New Roman" w:eastAsia="仿宋_GB2312"/>
          <w:color w:val="auto"/>
          <w:sz w:val="32"/>
          <w:szCs w:val="32"/>
          <w:highlight w:val="none"/>
          <w:lang w:eastAsia="zh-CN"/>
        </w:rPr>
        <w:t>养殖业</w:t>
      </w:r>
      <w:r>
        <w:rPr>
          <w:rFonts w:hint="eastAsia" w:ascii="Times New Roman" w:hAnsi="Times New Roman" w:eastAsia="仿宋_GB2312"/>
          <w:color w:val="auto"/>
          <w:sz w:val="32"/>
          <w:szCs w:val="32"/>
          <w:highlight w:val="none"/>
        </w:rPr>
        <w:t>、农业机械化等农业各产业的监督管理。指导粮食等农产品生产。指导粮食生产功能区和重要农产品生产保护区建设和管理工作。组织构建现代农业产业体系、生产体系、</w:t>
      </w:r>
      <w:r>
        <w:rPr>
          <w:rFonts w:hint="eastAsia" w:ascii="Times New Roman" w:hAnsi="Times New Roman" w:eastAsia="仿宋_GB2312"/>
          <w:color w:val="auto"/>
          <w:sz w:val="32"/>
          <w:szCs w:val="32"/>
          <w:highlight w:val="none"/>
          <w:lang w:eastAsia="zh-CN"/>
        </w:rPr>
        <w:t>经营</w:t>
      </w:r>
      <w:r>
        <w:rPr>
          <w:rFonts w:hint="eastAsia" w:ascii="Times New Roman" w:hAnsi="Times New Roman" w:eastAsia="仿宋_GB2312"/>
          <w:color w:val="auto"/>
          <w:sz w:val="32"/>
          <w:szCs w:val="32"/>
          <w:highlight w:val="none"/>
        </w:rPr>
        <w:t>体系，指导农业标准化、规模化生产。落实促进粮油、畜禽、水产等主要农产品生产发展的相关政策措施，引导农业产业结构调整和产品品质改善，促进农业绿色发展。负责渔政渔港、网具监督管理。</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6、</w:t>
      </w:r>
      <w:r>
        <w:rPr>
          <w:rFonts w:hint="eastAsia" w:ascii="Times New Roman" w:hAnsi="Times New Roman" w:eastAsia="仿宋_GB2312"/>
          <w:color w:val="auto"/>
          <w:sz w:val="32"/>
          <w:szCs w:val="32"/>
          <w:highlight w:val="none"/>
        </w:rPr>
        <w:t>负责</w:t>
      </w:r>
      <w:r>
        <w:rPr>
          <w:rFonts w:hint="eastAsia" w:ascii="Times New Roman" w:hAnsi="Times New Roman" w:eastAsia="仿宋_GB2312"/>
          <w:color w:val="auto"/>
          <w:sz w:val="32"/>
          <w:szCs w:val="32"/>
          <w:highlight w:val="none"/>
          <w:lang w:eastAsia="zh-CN"/>
        </w:rPr>
        <w:t>拟订</w:t>
      </w:r>
      <w:r>
        <w:rPr>
          <w:rFonts w:hint="eastAsia" w:ascii="Times New Roman" w:hAnsi="Times New Roman" w:eastAsia="仿宋_GB2312"/>
          <w:color w:val="auto"/>
          <w:sz w:val="32"/>
          <w:szCs w:val="32"/>
          <w:highlight w:val="none"/>
        </w:rPr>
        <w:t>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农业全产业机械化、智能化、数字化发展规划并组织实施。组织开展农业机械新技术、新机具的引进、示范和推广工作。指导全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农业机械基础设施的规划建设和管理工作。指导设施农业、农机库棚、机电提灌、机耕道等基础设施建设。</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7、</w:t>
      </w:r>
      <w:r>
        <w:rPr>
          <w:rFonts w:hint="eastAsia" w:ascii="Times New Roman" w:hAnsi="Times New Roman" w:eastAsia="仿宋_GB2312"/>
          <w:color w:val="auto"/>
          <w:sz w:val="32"/>
          <w:szCs w:val="32"/>
          <w:highlight w:val="none"/>
        </w:rPr>
        <w:t>负责全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农产品质量安全监督管理。组织开展农产品质量安全监测、追溯、风险评估。发布有关农产品质量安全状况信息，</w:t>
      </w:r>
      <w:r>
        <w:rPr>
          <w:rFonts w:hint="eastAsia" w:ascii="Times New Roman" w:hAnsi="Times New Roman" w:eastAsia="仿宋_GB2312"/>
          <w:b w:val="0"/>
          <w:bCs w:val="0"/>
          <w:color w:val="auto"/>
          <w:sz w:val="32"/>
          <w:szCs w:val="32"/>
          <w:highlight w:val="none"/>
        </w:rPr>
        <w:t>提出技术性贸易措施建议。</w:t>
      </w:r>
      <w:r>
        <w:rPr>
          <w:rFonts w:hint="eastAsia" w:ascii="Times New Roman" w:hAnsi="Times New Roman" w:eastAsia="仿宋_GB2312"/>
          <w:color w:val="auto"/>
          <w:sz w:val="32"/>
          <w:szCs w:val="32"/>
          <w:highlight w:val="none"/>
        </w:rPr>
        <w:t>指导农业检验检测体系建设。依法组织实施符合安全标准的农产品生产基地认定、产品认证、农产品地理标志登记保护和监督管理。</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8、</w:t>
      </w:r>
      <w:r>
        <w:rPr>
          <w:rFonts w:hint="eastAsia" w:ascii="Times New Roman" w:hAnsi="Times New Roman" w:eastAsia="仿宋_GB2312"/>
          <w:color w:val="auto"/>
          <w:sz w:val="32"/>
          <w:szCs w:val="32"/>
          <w:highlight w:val="none"/>
        </w:rPr>
        <w:t>组织开展全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农业生物质产业发展。</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9、</w:t>
      </w:r>
      <w:r>
        <w:rPr>
          <w:rFonts w:hint="eastAsia" w:ascii="Times New Roman" w:hAnsi="Times New Roman" w:eastAsia="仿宋_GB2312"/>
          <w:color w:val="auto"/>
          <w:sz w:val="32"/>
          <w:szCs w:val="32"/>
          <w:highlight w:val="none"/>
        </w:rPr>
        <w:t>负责全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有关农业生产资料和农业投入品的监督管理。组织农业生产资料市场体系建设，承担农作物种子（种苗）、食用菌种、蚕种、饲草良种、种畜禽、水产苗种、农药、兽药（渔药）、饲料、饲料添加剂等农业生产资料的监督管理职责，牵头负责“瘦肉精”监督管理工作。监督管理兽医医疗器械、肥料。会同有关部门监督实施农业生产资料国家标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组织兽医医政、兽药（渔药）药政药检</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饲料饲政饲检</w:t>
      </w:r>
      <w:r>
        <w:rPr>
          <w:rFonts w:hint="eastAsia" w:ascii="Times New Roman" w:hAnsi="Times New Roman" w:eastAsia="仿宋_GB2312"/>
          <w:color w:val="auto"/>
          <w:sz w:val="32"/>
          <w:szCs w:val="32"/>
          <w:highlight w:val="none"/>
        </w:rPr>
        <w:t>工作，负责执业兽医和畜禽屠宰行业管理。</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10、</w:t>
      </w:r>
      <w:r>
        <w:rPr>
          <w:rFonts w:hint="eastAsia" w:ascii="Times New Roman" w:hAnsi="Times New Roman" w:eastAsia="仿宋_GB2312"/>
          <w:color w:val="auto"/>
          <w:sz w:val="32"/>
          <w:szCs w:val="32"/>
          <w:highlight w:val="none"/>
        </w:rPr>
        <w:t>负责全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农业防灾减灾、</w:t>
      </w:r>
      <w:r>
        <w:rPr>
          <w:rFonts w:hint="eastAsia" w:ascii="Times New Roman" w:hAnsi="Times New Roman" w:eastAsia="仿宋_GB2312"/>
          <w:color w:val="auto"/>
          <w:sz w:val="32"/>
          <w:szCs w:val="32"/>
          <w:highlight w:val="none"/>
          <w:lang w:val="en-US" w:eastAsia="zh-CN"/>
        </w:rPr>
        <w:t>动植</w:t>
      </w:r>
      <w:r>
        <w:rPr>
          <w:rFonts w:hint="eastAsia" w:ascii="Times New Roman" w:hAnsi="Times New Roman" w:eastAsia="仿宋_GB2312"/>
          <w:color w:val="auto"/>
          <w:sz w:val="32"/>
          <w:szCs w:val="32"/>
          <w:highlight w:val="none"/>
        </w:rPr>
        <w:t>物重大病虫害防治工作。会同有关部门</w:t>
      </w:r>
      <w:r>
        <w:rPr>
          <w:rFonts w:hint="eastAsia" w:ascii="Times New Roman" w:hAnsi="Times New Roman" w:eastAsia="仿宋_GB2312"/>
          <w:color w:val="auto"/>
          <w:sz w:val="32"/>
          <w:szCs w:val="32"/>
          <w:highlight w:val="none"/>
          <w:lang w:eastAsia="zh-CN"/>
        </w:rPr>
        <w:t>拟订</w:t>
      </w:r>
      <w:r>
        <w:rPr>
          <w:rFonts w:hint="eastAsia" w:ascii="Times New Roman" w:hAnsi="Times New Roman" w:eastAsia="仿宋_GB2312"/>
          <w:color w:val="auto"/>
          <w:sz w:val="32"/>
          <w:szCs w:val="32"/>
          <w:highlight w:val="none"/>
        </w:rPr>
        <w:t>动植物防疫检疫政策并指导实施。指导动植物防疫检疫体系建设，组织监督管理</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内动植物防疫检疫工作，发布疫情并组织扑灭。组织植物检疫性有害生物普查。牵头管理外来农业物种。监测、核查、发布农业灾情，组织种子、种苗、化肥、兽药（渔药）等农业生产救灾物资的储备和调拨，提出生产救灾资金安排建议，指导紧急救灾和灾后生产恢复。</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11、</w:t>
      </w:r>
      <w:r>
        <w:rPr>
          <w:rFonts w:hint="eastAsia" w:ascii="Times New Roman" w:hAnsi="Times New Roman" w:eastAsia="仿宋_GB2312"/>
          <w:color w:val="auto"/>
          <w:sz w:val="32"/>
          <w:szCs w:val="32"/>
          <w:highlight w:val="none"/>
        </w:rPr>
        <w:t>负责全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农业投资管理。提出农业投融资体制机制改革建议。编制</w:t>
      </w:r>
      <w:r>
        <w:rPr>
          <w:rFonts w:hint="eastAsia" w:ascii="Times New Roman" w:hAnsi="Times New Roman" w:eastAsia="仿宋_GB2312"/>
          <w:color w:val="auto"/>
          <w:sz w:val="32"/>
          <w:szCs w:val="32"/>
          <w:highlight w:val="none"/>
          <w:lang w:eastAsia="zh-CN"/>
        </w:rPr>
        <w:t>中央和省级、市级</w:t>
      </w:r>
      <w:r>
        <w:rPr>
          <w:rFonts w:hint="eastAsia" w:ascii="Times New Roman" w:hAnsi="Times New Roman" w:eastAsia="仿宋_GB2312"/>
          <w:color w:val="auto"/>
          <w:sz w:val="32"/>
          <w:szCs w:val="32"/>
          <w:highlight w:val="none"/>
        </w:rPr>
        <w:t>投资安排的农业投资项目建设规划，提出农业投资规模和方向、扶持农业农村发展财政项目的建议，按权限审批农业投资项目，负责农业投资项目资金安排和监督管理。</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12、</w:t>
      </w:r>
      <w:r>
        <w:rPr>
          <w:rFonts w:hint="eastAsia" w:ascii="Times New Roman" w:hAnsi="Times New Roman" w:eastAsia="仿宋_GB2312"/>
          <w:color w:val="auto"/>
          <w:sz w:val="32"/>
          <w:szCs w:val="32"/>
          <w:highlight w:val="none"/>
        </w:rPr>
        <w:t>负责全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农田建设管理。拟订农田建设发展规划，提出农田建设项目需求建议。负责全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农田建设管理、高标准农田建设和耕地质量管理。编制农业综合开发涉及农田建设项目、农田整治项目、农田水利建设项目的计划，并组织实施和管理。</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13、</w:t>
      </w:r>
      <w:r>
        <w:rPr>
          <w:rFonts w:hint="eastAsia" w:ascii="Times New Roman" w:hAnsi="Times New Roman" w:eastAsia="仿宋_GB2312"/>
          <w:color w:val="auto"/>
          <w:sz w:val="32"/>
          <w:szCs w:val="32"/>
          <w:highlight w:val="none"/>
          <w:lang w:eastAsia="zh-CN"/>
        </w:rPr>
        <w:t>拟订</w:t>
      </w:r>
      <w:r>
        <w:rPr>
          <w:rFonts w:hint="eastAsia" w:ascii="Times New Roman" w:hAnsi="Times New Roman" w:eastAsia="仿宋_GB2312"/>
          <w:color w:val="auto"/>
          <w:sz w:val="32"/>
          <w:szCs w:val="32"/>
          <w:highlight w:val="none"/>
        </w:rPr>
        <w:t>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w:t>
      </w:r>
      <w:r>
        <w:rPr>
          <w:rFonts w:hint="eastAsia" w:ascii="Times New Roman" w:hAnsi="Times New Roman" w:eastAsia="仿宋_GB2312"/>
          <w:color w:val="auto"/>
          <w:sz w:val="32"/>
          <w:szCs w:val="32"/>
          <w:highlight w:val="none"/>
          <w:lang w:eastAsia="zh-CN"/>
        </w:rPr>
        <w:t>组织协调</w:t>
      </w:r>
      <w:r>
        <w:rPr>
          <w:rFonts w:hint="eastAsia" w:ascii="Times New Roman" w:hAnsi="Times New Roman" w:eastAsia="仿宋_GB2312"/>
          <w:color w:val="auto"/>
          <w:sz w:val="32"/>
          <w:szCs w:val="32"/>
          <w:highlight w:val="none"/>
        </w:rPr>
        <w:t>农业转基因生物安全监督管理和农业植物新品种保护。</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14、</w:t>
      </w:r>
      <w:r>
        <w:rPr>
          <w:rFonts w:hint="eastAsia" w:ascii="Times New Roman" w:hAnsi="Times New Roman" w:eastAsia="仿宋_GB2312"/>
          <w:color w:val="auto"/>
          <w:sz w:val="32"/>
          <w:szCs w:val="32"/>
          <w:highlight w:val="none"/>
          <w:lang w:eastAsia="zh-CN"/>
        </w:rPr>
        <w:t>指</w:t>
      </w:r>
      <w:r>
        <w:rPr>
          <w:rFonts w:hint="eastAsia" w:ascii="Times New Roman" w:hAnsi="Times New Roman" w:eastAsia="仿宋_GB2312"/>
          <w:color w:val="auto"/>
          <w:sz w:val="32"/>
          <w:szCs w:val="32"/>
          <w:highlight w:val="none"/>
        </w:rPr>
        <w:t>导全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农业农村人才工作。</w:t>
      </w:r>
      <w:r>
        <w:rPr>
          <w:rFonts w:hint="eastAsia" w:ascii="Times New Roman" w:hAnsi="Times New Roman" w:eastAsia="仿宋_GB2312"/>
          <w:color w:val="auto"/>
          <w:sz w:val="32"/>
          <w:szCs w:val="32"/>
          <w:highlight w:val="none"/>
          <w:lang w:eastAsia="zh-CN"/>
        </w:rPr>
        <w:t>拟订</w:t>
      </w:r>
      <w:r>
        <w:rPr>
          <w:rFonts w:hint="eastAsia" w:ascii="Times New Roman" w:hAnsi="Times New Roman" w:eastAsia="仿宋_GB2312"/>
          <w:color w:val="auto"/>
          <w:sz w:val="32"/>
          <w:szCs w:val="32"/>
          <w:highlight w:val="none"/>
        </w:rPr>
        <w:t>农业农村人才队伍建设规划并组织实施，指导农业教育和农业职业技能开发，指导新型职业农民培育、农业科技人才培养和农村实用人才培训工作。</w:t>
      </w:r>
    </w:p>
    <w:p>
      <w:pPr>
        <w:overflowPunct w:val="0"/>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15、</w:t>
      </w:r>
      <w:r>
        <w:rPr>
          <w:rFonts w:hint="eastAsia" w:ascii="Times New Roman" w:hAnsi="Times New Roman" w:eastAsia="仿宋_GB2312"/>
          <w:color w:val="auto"/>
          <w:sz w:val="32"/>
          <w:szCs w:val="32"/>
          <w:highlight w:val="none"/>
        </w:rPr>
        <w:t>牵头开展全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业对外合作工作。承办政府间农业涉外事务，参与拟订农业对外开放政策和外向型农业发展规划，指导外向型农业发展。组织开展农业贸易促进和有关国际交流合作，落实对外援助政策，具体执行有关农业援外项目。组织开展农业投资促进活动，推动农业开放合作。</w:t>
      </w:r>
    </w:p>
    <w:p>
      <w:pPr>
        <w:overflowPunct w:val="0"/>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color w:val="auto"/>
          <w:sz w:val="32"/>
          <w:szCs w:val="32"/>
          <w:highlight w:val="none"/>
          <w:lang w:val="en-US" w:eastAsia="zh-CN"/>
        </w:rPr>
        <w:t>16、</w:t>
      </w:r>
      <w:r>
        <w:rPr>
          <w:rFonts w:hint="eastAsia" w:ascii="Times New Roman" w:hAnsi="Times New Roman" w:eastAsia="仿宋_GB2312"/>
          <w:color w:val="auto"/>
          <w:sz w:val="32"/>
          <w:szCs w:val="32"/>
          <w:highlight w:val="none"/>
        </w:rPr>
        <w:t>统筹协调和监督指导全</w:t>
      </w:r>
      <w:r>
        <w:rPr>
          <w:rFonts w:hint="eastAsia" w:ascii="Times New Roman" w:hAnsi="Times New Roman" w:eastAsia="仿宋_GB2312"/>
          <w:color w:val="auto"/>
          <w:sz w:val="32"/>
          <w:szCs w:val="32"/>
          <w:highlight w:val="none"/>
          <w:lang w:eastAsia="zh-CN"/>
        </w:rPr>
        <w:t>市</w:t>
      </w:r>
      <w:r>
        <w:rPr>
          <w:rFonts w:hint="eastAsia" w:ascii="Times New Roman" w:hAnsi="Times New Roman" w:eastAsia="仿宋_GB2312"/>
          <w:color w:val="auto"/>
          <w:sz w:val="32"/>
          <w:szCs w:val="32"/>
          <w:highlight w:val="none"/>
        </w:rPr>
        <w:t>农业综合执法。负责由市本级办理的涉农违法案件调查处理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监督指导重大案件查处和跨区域执法的组织协调工作。推进农业依法行政</w:t>
      </w:r>
      <w:r>
        <w:rPr>
          <w:rFonts w:hint="eastAsia" w:ascii="Times New Roman" w:hAnsi="Times New Roman" w:eastAsia="仿宋_GB2312"/>
          <w:color w:val="auto"/>
          <w:sz w:val="32"/>
          <w:szCs w:val="32"/>
        </w:rPr>
        <w:t>。</w:t>
      </w:r>
    </w:p>
    <w:p>
      <w:pPr>
        <w:overflowPunct w:val="0"/>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color w:val="auto"/>
          <w:sz w:val="32"/>
          <w:szCs w:val="32"/>
          <w:lang w:val="en-US" w:eastAsia="zh-CN"/>
        </w:rPr>
        <w:t>17、</w:t>
      </w:r>
      <w:r>
        <w:rPr>
          <w:rFonts w:hint="eastAsia" w:ascii="Times New Roman" w:hAnsi="Times New Roman" w:eastAsia="仿宋_GB2312"/>
          <w:color w:val="auto"/>
          <w:sz w:val="32"/>
          <w:szCs w:val="32"/>
        </w:rPr>
        <w:t>负责职责范围内的</w:t>
      </w:r>
      <w:r>
        <w:rPr>
          <w:rFonts w:hint="eastAsia" w:ascii="Times New Roman" w:hAnsi="Times New Roman" w:eastAsia="仿宋_GB2312"/>
          <w:color w:val="auto"/>
          <w:sz w:val="32"/>
          <w:szCs w:val="32"/>
          <w:lang w:eastAsia="zh-CN"/>
        </w:rPr>
        <w:t>安全生产和职业健康、</w:t>
      </w:r>
      <w:r>
        <w:rPr>
          <w:rFonts w:hint="eastAsia" w:ascii="Times New Roman" w:hAnsi="Times New Roman" w:eastAsia="仿宋_GB2312"/>
          <w:color w:val="auto"/>
          <w:sz w:val="32"/>
          <w:szCs w:val="32"/>
        </w:rPr>
        <w:t>生态环境保护、审批服务便民化等工作。</w:t>
      </w:r>
      <w:r>
        <w:rPr>
          <w:rFonts w:hint="eastAsia" w:ascii="Times New Roman" w:hAnsi="Times New Roman" w:eastAsia="仿宋_GB2312"/>
          <w:color w:val="auto"/>
          <w:sz w:val="32"/>
          <w:szCs w:val="32"/>
          <w:highlight w:val="none"/>
        </w:rPr>
        <w:t>负责农业安全生产和职业</w:t>
      </w:r>
      <w:r>
        <w:rPr>
          <w:rFonts w:hint="eastAsia" w:ascii="Times New Roman" w:hAnsi="Times New Roman" w:eastAsia="仿宋_GB2312"/>
          <w:color w:val="auto"/>
          <w:sz w:val="32"/>
          <w:szCs w:val="32"/>
          <w:highlight w:val="none"/>
          <w:lang w:eastAsia="zh-CN"/>
        </w:rPr>
        <w:t>健康</w:t>
      </w:r>
      <w:r>
        <w:rPr>
          <w:rFonts w:hint="eastAsia" w:ascii="Times New Roman" w:hAnsi="Times New Roman" w:eastAsia="仿宋_GB2312"/>
          <w:color w:val="auto"/>
          <w:sz w:val="32"/>
          <w:szCs w:val="32"/>
        </w:rPr>
        <w:t>监督管理工作。负责农业机械、农（兽）药、饲料、渔业、畜禽屠宰行业安全生产和职业健康监督管理。负责组织实施农村沼气项目的安全生产和职业健康监督管理。对农业园区的安全生产和职业健康工作实施行业监督管理。负责制定职责范围内的安全生产年度监督检查计划并组织实施。</w:t>
      </w:r>
    </w:p>
    <w:p>
      <w:pPr>
        <w:overflowPunct w:val="0"/>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color w:val="auto"/>
          <w:sz w:val="32"/>
          <w:szCs w:val="32"/>
          <w:lang w:val="en-US" w:eastAsia="zh-CN"/>
        </w:rPr>
        <w:t>18、</w:t>
      </w:r>
      <w:r>
        <w:rPr>
          <w:rFonts w:hint="eastAsia" w:ascii="Times New Roman" w:hAnsi="Times New Roman" w:eastAsia="仿宋_GB2312"/>
          <w:color w:val="auto"/>
          <w:sz w:val="32"/>
          <w:szCs w:val="32"/>
        </w:rPr>
        <w:t>完成</w:t>
      </w:r>
      <w:r>
        <w:rPr>
          <w:rFonts w:hint="eastAsia" w:ascii="Times New Roman" w:hAnsi="Times New Roman" w:eastAsia="仿宋_GB2312"/>
          <w:color w:val="auto"/>
          <w:sz w:val="32"/>
          <w:szCs w:val="32"/>
          <w:lang w:eastAsia="zh-CN"/>
        </w:rPr>
        <w:t>市</w:t>
      </w:r>
      <w:r>
        <w:rPr>
          <w:rFonts w:hint="eastAsia" w:ascii="Times New Roman" w:hAnsi="Times New Roman" w:eastAsia="仿宋_GB2312"/>
          <w:color w:val="auto"/>
          <w:sz w:val="32"/>
          <w:szCs w:val="32"/>
        </w:rPr>
        <w:t>委</w:t>
      </w:r>
      <w:r>
        <w:rPr>
          <w:rFonts w:hint="eastAsia" w:ascii="Times New Roman" w:hAnsi="Times New Roman" w:eastAsia="仿宋_GB2312"/>
          <w:color w:val="auto"/>
          <w:sz w:val="32"/>
          <w:szCs w:val="32"/>
          <w:lang w:eastAsia="zh-CN"/>
        </w:rPr>
        <w:t>和市</w:t>
      </w:r>
      <w:r>
        <w:rPr>
          <w:rFonts w:hint="eastAsia" w:ascii="Times New Roman" w:hAnsi="Times New Roman" w:eastAsia="仿宋_GB2312"/>
          <w:color w:val="auto"/>
          <w:sz w:val="32"/>
          <w:szCs w:val="32"/>
        </w:rPr>
        <w:t>政府交办的其他任务。</w:t>
      </w:r>
    </w:p>
    <w:p>
      <w:pPr>
        <w:shd w:val="clear" w:color="auto" w:fill="FFFFFF"/>
        <w:overflowPunct w:val="0"/>
        <w:spacing w:line="600" w:lineRule="exact"/>
        <w:ind w:firstLine="642" w:firstLineChars="200"/>
        <w:rPr>
          <w:rFonts w:hint="eastAsia" w:eastAsia="楷体_GB2312" w:cs="仿宋"/>
          <w:b/>
          <w:color w:val="000000"/>
          <w:sz w:val="32"/>
          <w:szCs w:val="32"/>
        </w:rPr>
      </w:pPr>
    </w:p>
    <w:p>
      <w:pPr>
        <w:shd w:val="clear" w:color="auto" w:fill="FFFFFF"/>
        <w:overflowPunct w:val="0"/>
        <w:spacing w:line="600" w:lineRule="exact"/>
        <w:ind w:firstLine="642" w:firstLineChars="200"/>
        <w:rPr>
          <w:rFonts w:eastAsia="楷体_GB2312" w:cs="仿宋"/>
          <w:b/>
          <w:color w:val="000000"/>
          <w:sz w:val="32"/>
          <w:szCs w:val="32"/>
        </w:rPr>
      </w:pPr>
      <w:r>
        <w:rPr>
          <w:rFonts w:hint="eastAsia" w:eastAsia="楷体_GB2312" w:cs="仿宋"/>
          <w:b/>
          <w:color w:val="000000"/>
          <w:sz w:val="32"/>
          <w:szCs w:val="32"/>
        </w:rPr>
        <w:t>（三）人员概况。</w:t>
      </w:r>
    </w:p>
    <w:p>
      <w:pPr>
        <w:shd w:val="clear" w:color="auto" w:fill="FFFFFF"/>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截至 </w:t>
      </w:r>
      <w:r>
        <w:rPr>
          <w:rFonts w:hint="eastAsia" w:ascii="仿宋_GB2312" w:hAnsi="仿宋_GB2312" w:eastAsia="仿宋_GB2312" w:cs="仿宋_GB2312"/>
          <w:color w:val="000000"/>
          <w:sz w:val="32"/>
          <w:szCs w:val="32"/>
          <w:lang w:val="en-US" w:eastAsia="zh-CN"/>
        </w:rPr>
        <w:t>2019</w:t>
      </w:r>
      <w:r>
        <w:rPr>
          <w:rFonts w:hint="eastAsia" w:ascii="仿宋_GB2312" w:hAnsi="仿宋_GB2312" w:eastAsia="仿宋_GB2312" w:cs="仿宋_GB2312"/>
          <w:color w:val="000000"/>
          <w:sz w:val="32"/>
          <w:szCs w:val="32"/>
        </w:rPr>
        <w:t xml:space="preserve"> 年底，农业</w:t>
      </w:r>
      <w:r>
        <w:rPr>
          <w:rFonts w:hint="eastAsia" w:ascii="仿宋_GB2312" w:hAnsi="仿宋_GB2312" w:eastAsia="仿宋_GB2312" w:cs="仿宋_GB2312"/>
          <w:color w:val="000000"/>
          <w:sz w:val="32"/>
          <w:szCs w:val="32"/>
          <w:lang w:val="en-US" w:eastAsia="zh-CN"/>
        </w:rPr>
        <w:t>农村</w:t>
      </w:r>
      <w:r>
        <w:rPr>
          <w:rFonts w:hint="eastAsia" w:ascii="仿宋_GB2312" w:hAnsi="仿宋_GB2312" w:eastAsia="仿宋_GB2312" w:cs="仿宋_GB2312"/>
          <w:color w:val="000000"/>
          <w:sz w:val="32"/>
          <w:szCs w:val="32"/>
        </w:rPr>
        <w:t>局编制158 人，行政编制41人，事业编制117 人。实际在职人员145 人，其中：行政人员</w:t>
      </w:r>
      <w:r>
        <w:rPr>
          <w:rFonts w:hint="eastAsia" w:ascii="仿宋_GB2312" w:hAnsi="仿宋_GB2312" w:eastAsia="仿宋_GB2312" w:cs="仿宋_GB2312"/>
          <w:color w:val="000000"/>
          <w:sz w:val="32"/>
          <w:szCs w:val="32"/>
          <w:lang w:val="en-US" w:eastAsia="zh-CN"/>
        </w:rPr>
        <w:t>41</w:t>
      </w:r>
      <w:r>
        <w:rPr>
          <w:rFonts w:hint="eastAsia" w:ascii="仿宋_GB2312" w:hAnsi="仿宋_GB2312" w:eastAsia="仿宋_GB2312" w:cs="仿宋_GB2312"/>
          <w:color w:val="000000"/>
          <w:sz w:val="32"/>
          <w:szCs w:val="32"/>
        </w:rPr>
        <w:t>人、参公管理人员</w:t>
      </w:r>
      <w:r>
        <w:rPr>
          <w:rFonts w:hint="eastAsia" w:ascii="仿宋_GB2312" w:hAnsi="仿宋_GB2312" w:eastAsia="仿宋_GB2312" w:cs="仿宋_GB2312"/>
          <w:color w:val="000000"/>
          <w:sz w:val="32"/>
          <w:szCs w:val="32"/>
          <w:lang w:val="en-US" w:eastAsia="zh-CN"/>
        </w:rPr>
        <w:t>42</w:t>
      </w:r>
      <w:r>
        <w:rPr>
          <w:rFonts w:hint="eastAsia" w:ascii="仿宋_GB2312" w:hAnsi="仿宋_GB2312" w:eastAsia="仿宋_GB2312" w:cs="仿宋_GB2312"/>
          <w:color w:val="000000"/>
          <w:sz w:val="32"/>
          <w:szCs w:val="32"/>
        </w:rPr>
        <w:t xml:space="preserve"> 人，其他事业人员7</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 xml:space="preserve"> 人。</w:t>
      </w:r>
    </w:p>
    <w:p>
      <w:pPr>
        <w:shd w:val="clear" w:color="auto" w:fill="FFFFFF"/>
        <w:overflowPunct w:val="0"/>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二、部门财政资金收支情况</w:t>
      </w:r>
    </w:p>
    <w:p>
      <w:pPr>
        <w:shd w:val="clear" w:color="auto" w:fill="FFFFFF"/>
        <w:overflowPunct w:val="0"/>
        <w:spacing w:line="600" w:lineRule="exact"/>
        <w:ind w:firstLine="642" w:firstLineChars="200"/>
        <w:rPr>
          <w:rFonts w:ascii="仿宋_GB2312" w:hAnsi="仿宋_GB2312" w:eastAsia="仿宋_GB2312" w:cs="仿宋_GB2312"/>
          <w:color w:val="000000"/>
          <w:sz w:val="32"/>
          <w:szCs w:val="32"/>
        </w:rPr>
      </w:pPr>
      <w:r>
        <w:rPr>
          <w:rFonts w:hint="eastAsia" w:eastAsia="楷体_GB2312" w:cs="仿宋"/>
          <w:b/>
          <w:color w:val="000000"/>
          <w:sz w:val="32"/>
          <w:szCs w:val="32"/>
        </w:rPr>
        <w:t>（一）部门财政资金收入情况。</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 xml:space="preserve"> 年农业</w:t>
      </w:r>
      <w:r>
        <w:rPr>
          <w:rFonts w:hint="eastAsia" w:ascii="仿宋_GB2312" w:hAnsi="仿宋_GB2312" w:eastAsia="仿宋_GB2312" w:cs="仿宋_GB2312"/>
          <w:color w:val="000000"/>
          <w:sz w:val="32"/>
          <w:szCs w:val="32"/>
          <w:lang w:val="en-US" w:eastAsia="zh-CN"/>
        </w:rPr>
        <w:t>农村</w:t>
      </w:r>
      <w:r>
        <w:rPr>
          <w:rFonts w:hint="eastAsia" w:ascii="仿宋_GB2312" w:hAnsi="仿宋_GB2312" w:eastAsia="仿宋_GB2312" w:cs="仿宋_GB2312"/>
          <w:color w:val="000000"/>
          <w:sz w:val="32"/>
          <w:szCs w:val="32"/>
        </w:rPr>
        <w:t>局财政拨款收入</w:t>
      </w:r>
      <w:r>
        <w:rPr>
          <w:rFonts w:hint="eastAsia" w:ascii="仿宋_GB2312" w:hAnsi="仿宋_GB2312" w:eastAsia="仿宋_GB2312" w:cs="仿宋_GB2312"/>
          <w:color w:val="000000"/>
          <w:sz w:val="32"/>
          <w:szCs w:val="32"/>
          <w:lang w:val="en-US" w:eastAsia="zh-CN"/>
        </w:rPr>
        <w:t>10，656.34</w:t>
      </w:r>
      <w:r>
        <w:rPr>
          <w:rFonts w:hint="eastAsia" w:ascii="仿宋_GB2312" w:hAnsi="仿宋_GB2312" w:eastAsia="仿宋_GB2312" w:cs="仿宋_GB2312"/>
          <w:color w:val="000000"/>
          <w:sz w:val="32"/>
          <w:szCs w:val="32"/>
        </w:rPr>
        <w:t>万元，其中年初财政拨款结转结余</w:t>
      </w:r>
      <w:r>
        <w:rPr>
          <w:rFonts w:hint="eastAsia" w:ascii="仿宋_GB2312" w:hAnsi="仿宋_GB2312" w:eastAsia="仿宋_GB2312" w:cs="仿宋_GB2312"/>
          <w:color w:val="000000"/>
          <w:sz w:val="32"/>
          <w:szCs w:val="32"/>
          <w:lang w:val="en-US" w:eastAsia="zh-CN"/>
        </w:rPr>
        <w:t>478.34</w:t>
      </w:r>
      <w:r>
        <w:rPr>
          <w:rFonts w:hint="eastAsia" w:ascii="仿宋_GB2312" w:hAnsi="仿宋_GB2312" w:eastAsia="仿宋_GB2312" w:cs="仿宋_GB2312"/>
          <w:color w:val="000000"/>
          <w:sz w:val="32"/>
          <w:szCs w:val="32"/>
        </w:rPr>
        <w:t>万元，预算安排</w:t>
      </w:r>
      <w:r>
        <w:rPr>
          <w:rFonts w:hint="eastAsia" w:ascii="仿宋_GB2312" w:hAnsi="仿宋_GB2312" w:eastAsia="仿宋_GB2312" w:cs="仿宋_GB2312"/>
          <w:color w:val="000000"/>
          <w:sz w:val="32"/>
          <w:szCs w:val="32"/>
          <w:lang w:val="en-US" w:eastAsia="zh-CN"/>
        </w:rPr>
        <w:t>10177.80</w:t>
      </w:r>
      <w:r>
        <w:rPr>
          <w:rFonts w:hint="eastAsia" w:ascii="仿宋_GB2312" w:hAnsi="仿宋_GB2312" w:eastAsia="仿宋_GB2312" w:cs="仿宋_GB2312"/>
          <w:color w:val="000000"/>
          <w:sz w:val="32"/>
          <w:szCs w:val="32"/>
        </w:rPr>
        <w:t>万元。</w:t>
      </w:r>
    </w:p>
    <w:p>
      <w:pPr>
        <w:shd w:val="clear" w:color="auto" w:fill="FFFFFF"/>
        <w:overflowPunct w:val="0"/>
        <w:spacing w:line="600" w:lineRule="exact"/>
        <w:ind w:firstLine="642" w:firstLineChars="200"/>
        <w:rPr>
          <w:rFonts w:ascii="仿宋_GB2312" w:hAnsi="仿宋_GB2312" w:eastAsia="仿宋_GB2312" w:cs="仿宋_GB2312"/>
          <w:color w:val="000000"/>
          <w:sz w:val="32"/>
          <w:szCs w:val="32"/>
        </w:rPr>
      </w:pPr>
      <w:r>
        <w:rPr>
          <w:rFonts w:hint="eastAsia" w:eastAsia="楷体_GB2312" w:cs="仿宋"/>
          <w:b/>
          <w:color w:val="000000"/>
          <w:sz w:val="32"/>
          <w:szCs w:val="32"/>
        </w:rPr>
        <w:t>（二）部门财政资金支出情况。</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年农业</w:t>
      </w:r>
      <w:r>
        <w:rPr>
          <w:rFonts w:hint="eastAsia" w:ascii="仿宋_GB2312" w:hAnsi="仿宋_GB2312" w:eastAsia="仿宋_GB2312" w:cs="仿宋_GB2312"/>
          <w:color w:val="000000"/>
          <w:sz w:val="32"/>
          <w:szCs w:val="32"/>
          <w:lang w:val="en-US" w:eastAsia="zh-CN"/>
        </w:rPr>
        <w:t>农村</w:t>
      </w:r>
      <w:r>
        <w:rPr>
          <w:rFonts w:hint="eastAsia" w:ascii="仿宋_GB2312" w:hAnsi="仿宋_GB2312" w:eastAsia="仿宋_GB2312" w:cs="仿宋_GB2312"/>
          <w:color w:val="000000"/>
          <w:sz w:val="32"/>
          <w:szCs w:val="32"/>
        </w:rPr>
        <w:t>局财政资金支出</w:t>
      </w:r>
      <w:r>
        <w:rPr>
          <w:rFonts w:hint="eastAsia" w:ascii="仿宋_GB2312" w:hAnsi="仿宋_GB2312" w:eastAsia="仿宋_GB2312" w:cs="仿宋_GB2312"/>
          <w:color w:val="000000"/>
          <w:sz w:val="32"/>
          <w:szCs w:val="32"/>
          <w:lang w:val="en-US" w:eastAsia="zh-CN"/>
        </w:rPr>
        <w:t>7990.22</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2830.13</w:t>
      </w:r>
      <w:r>
        <w:rPr>
          <w:rFonts w:hint="eastAsia" w:ascii="仿宋_GB2312" w:hAnsi="仿宋_GB2312" w:eastAsia="仿宋_GB2312" w:cs="仿宋_GB2312"/>
          <w:color w:val="000000"/>
          <w:sz w:val="32"/>
          <w:szCs w:val="32"/>
        </w:rPr>
        <w:t>万元；项目支出</w:t>
      </w:r>
      <w:r>
        <w:rPr>
          <w:rFonts w:hint="eastAsia" w:ascii="仿宋_GB2312" w:hAnsi="仿宋_GB2312" w:eastAsia="仿宋_GB2312" w:cs="仿宋_GB2312"/>
          <w:color w:val="000000"/>
          <w:sz w:val="32"/>
          <w:szCs w:val="32"/>
          <w:lang w:val="en-US" w:eastAsia="zh-CN"/>
        </w:rPr>
        <w:t>5160.09</w:t>
      </w:r>
      <w:r>
        <w:rPr>
          <w:rFonts w:hint="eastAsia" w:ascii="仿宋_GB2312" w:hAnsi="仿宋_GB2312" w:eastAsia="仿宋_GB2312" w:cs="仿宋_GB2312"/>
          <w:color w:val="000000"/>
          <w:sz w:val="32"/>
          <w:szCs w:val="32"/>
        </w:rPr>
        <w:t>万元。</w:t>
      </w:r>
    </w:p>
    <w:p>
      <w:pPr>
        <w:shd w:val="clear" w:color="auto" w:fill="FFFFFF"/>
        <w:overflowPunct w:val="0"/>
        <w:spacing w:line="600" w:lineRule="exact"/>
        <w:ind w:firstLine="640" w:firstLineChars="200"/>
        <w:rPr>
          <w:rFonts w:eastAsia="黑体" w:cs="仿宋"/>
          <w:color w:val="000000"/>
          <w:sz w:val="32"/>
          <w:szCs w:val="32"/>
        </w:rPr>
      </w:pPr>
      <w:r>
        <w:rPr>
          <w:rFonts w:hint="eastAsia" w:hAnsi="黑体" w:eastAsia="黑体" w:cs="仿宋"/>
          <w:color w:val="000000"/>
          <w:sz w:val="32"/>
          <w:szCs w:val="32"/>
        </w:rPr>
        <w:t>三、部门财政支出管理情况</w:t>
      </w:r>
    </w:p>
    <w:p>
      <w:pPr>
        <w:shd w:val="clear" w:color="auto" w:fill="FFFFFF"/>
        <w:overflowPunct w:val="0"/>
        <w:spacing w:line="600" w:lineRule="exact"/>
        <w:ind w:firstLine="642" w:firstLineChars="200"/>
        <w:rPr>
          <w:rFonts w:eastAsia="楷体_GB2312" w:cs="仿宋"/>
          <w:b/>
          <w:color w:val="000000"/>
          <w:sz w:val="32"/>
          <w:szCs w:val="32"/>
        </w:rPr>
      </w:pPr>
      <w:r>
        <w:rPr>
          <w:rFonts w:hint="eastAsia" w:eastAsia="楷体_GB2312" w:cs="仿宋"/>
          <w:b/>
          <w:color w:val="000000"/>
          <w:sz w:val="32"/>
          <w:szCs w:val="32"/>
        </w:rPr>
        <w:t>（一）预算编制情况</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1.按时编报。严格按市财政局通知要求和会议安排，按时完成部门预算项目库、基础库报送工作。</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2.精确编制。结合部门201</w:t>
      </w:r>
      <w:r>
        <w:rPr>
          <w:rFonts w:hint="eastAsia" w:eastAsia="仿宋_GB2312" w:cs="仿宋"/>
          <w:color w:val="000000"/>
          <w:sz w:val="32"/>
          <w:szCs w:val="32"/>
          <w:lang w:val="en-US" w:eastAsia="zh-CN"/>
        </w:rPr>
        <w:t>8</w:t>
      </w:r>
      <w:r>
        <w:rPr>
          <w:rFonts w:hint="eastAsia" w:eastAsia="仿宋_GB2312" w:cs="仿宋"/>
          <w:color w:val="000000"/>
          <w:sz w:val="32"/>
          <w:szCs w:val="32"/>
        </w:rPr>
        <w:t>年预决算情况，按“保运转、促增收”确保部门有效运转的前提下，遵循“全面覆盖、规范实施、确保质量、注重成效”的工作原则，精准测算，同时，加强对局属二级单位部门预算编制的指导，确保同口径编制部门预算。</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3.科学设置绩效目标。根据部门职能职责和工作任务，科学设置部门绩效目标，整体目标设置科学、合理。重点项目绩效目标设置明确、细化。</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4.及时批复部门预算。根据《预算法》和遂宁市财政局关于批复201</w:t>
      </w:r>
      <w:r>
        <w:rPr>
          <w:rFonts w:hint="eastAsia" w:eastAsia="仿宋_GB2312" w:cs="仿宋"/>
          <w:color w:val="000000"/>
          <w:sz w:val="32"/>
          <w:szCs w:val="32"/>
          <w:lang w:val="en-US" w:eastAsia="zh-CN"/>
        </w:rPr>
        <w:t>9</w:t>
      </w:r>
      <w:r>
        <w:rPr>
          <w:rFonts w:hint="eastAsia" w:eastAsia="仿宋_GB2312" w:cs="仿宋"/>
          <w:color w:val="000000"/>
          <w:sz w:val="32"/>
          <w:szCs w:val="32"/>
        </w:rPr>
        <w:t>年部门预算的通知要求，及时对三个二级单位部门预算进行批复。</w:t>
      </w:r>
    </w:p>
    <w:p>
      <w:pPr>
        <w:spacing w:line="600" w:lineRule="exact"/>
        <w:ind w:firstLine="629" w:firstLineChars="196"/>
        <w:rPr>
          <w:rFonts w:ascii="楷体_GB2312" w:eastAsia="楷体_GB2312"/>
          <w:b/>
          <w:color w:val="000000"/>
          <w:sz w:val="32"/>
          <w:szCs w:val="32"/>
        </w:rPr>
      </w:pPr>
      <w:r>
        <w:rPr>
          <w:rFonts w:hint="eastAsia" w:ascii="楷体_GB2312" w:eastAsia="楷体_GB2312"/>
          <w:b/>
          <w:color w:val="000000"/>
          <w:sz w:val="32"/>
          <w:szCs w:val="32"/>
        </w:rPr>
        <w:t>（二）执行管理情况</w:t>
      </w:r>
    </w:p>
    <w:p>
      <w:pPr>
        <w:shd w:val="clear" w:color="auto" w:fill="FFFFFF"/>
        <w:overflowPunct w:val="0"/>
        <w:autoSpaceDN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1.行政成本。一是强化节能降耗工作，降低行政运行成本。加强宣传，提高思想认识，增强节能降耗工作的自觉性和责任感。加强组织领导，强化目标责任管理。采取有效措施，认真开展节能降耗工作。重点在节约用电、节约用水、物资采购、物资利用、邮电通信、公务接待等方面加强管理，切实降低机关运行成本。二是强化“三公”经费管理，严格执行“三公”经费预算。201</w:t>
      </w:r>
      <w:r>
        <w:rPr>
          <w:rFonts w:hint="eastAsia" w:eastAsia="仿宋_GB2312" w:cs="仿宋"/>
          <w:color w:val="000000"/>
          <w:sz w:val="32"/>
          <w:szCs w:val="32"/>
          <w:lang w:val="en-US" w:eastAsia="zh-CN"/>
        </w:rPr>
        <w:t>9</w:t>
      </w:r>
      <w:r>
        <w:rPr>
          <w:rFonts w:hint="eastAsia" w:eastAsia="仿宋_GB2312" w:cs="仿宋"/>
          <w:color w:val="000000"/>
          <w:sz w:val="32"/>
          <w:szCs w:val="32"/>
        </w:rPr>
        <w:t>年“三公”经费总计49.9</w:t>
      </w:r>
      <w:r>
        <w:rPr>
          <w:rFonts w:hint="eastAsia" w:eastAsia="仿宋_GB2312" w:cs="仿宋"/>
          <w:color w:val="000000"/>
          <w:sz w:val="32"/>
          <w:szCs w:val="32"/>
          <w:lang w:val="en-US" w:eastAsia="zh-CN"/>
        </w:rPr>
        <w:t>8</w:t>
      </w:r>
      <w:r>
        <w:rPr>
          <w:rFonts w:hint="eastAsia" w:eastAsia="仿宋_GB2312" w:cs="仿宋"/>
          <w:color w:val="000000"/>
          <w:sz w:val="32"/>
          <w:szCs w:val="32"/>
        </w:rPr>
        <w:t>万元，其中，</w:t>
      </w:r>
      <w:r>
        <w:rPr>
          <w:rFonts w:hint="eastAsia" w:eastAsia="仿宋_GB2312" w:cs="仿宋"/>
          <w:color w:val="000000"/>
          <w:sz w:val="32"/>
          <w:szCs w:val="32"/>
          <w:lang w:val="en-US" w:eastAsia="zh-CN"/>
        </w:rPr>
        <w:t>因公出国（境）费5.89万元，</w:t>
      </w:r>
      <w:r>
        <w:rPr>
          <w:rFonts w:hint="eastAsia" w:eastAsia="仿宋_GB2312" w:cs="仿宋"/>
          <w:color w:val="000000"/>
          <w:sz w:val="32"/>
          <w:szCs w:val="32"/>
        </w:rPr>
        <w:t>公务用车购置及运行维护费</w:t>
      </w:r>
      <w:r>
        <w:rPr>
          <w:rFonts w:hint="eastAsia" w:eastAsia="仿宋_GB2312" w:cs="仿宋"/>
          <w:color w:val="000000"/>
          <w:sz w:val="32"/>
          <w:szCs w:val="32"/>
          <w:lang w:val="en-US" w:eastAsia="zh-CN"/>
        </w:rPr>
        <w:t>33.65</w:t>
      </w:r>
      <w:r>
        <w:rPr>
          <w:rFonts w:hint="eastAsia" w:eastAsia="仿宋_GB2312" w:cs="仿宋"/>
          <w:color w:val="000000"/>
          <w:sz w:val="32"/>
          <w:szCs w:val="32"/>
        </w:rPr>
        <w:t>万元 、国内公务接待费</w:t>
      </w:r>
      <w:r>
        <w:rPr>
          <w:rFonts w:hint="eastAsia" w:eastAsia="仿宋_GB2312" w:cs="仿宋"/>
          <w:color w:val="000000"/>
          <w:sz w:val="32"/>
          <w:szCs w:val="32"/>
          <w:lang w:val="en-US" w:eastAsia="zh-CN"/>
        </w:rPr>
        <w:t>10.44</w:t>
      </w:r>
      <w:r>
        <w:rPr>
          <w:rFonts w:hint="eastAsia" w:eastAsia="仿宋_GB2312" w:cs="仿宋"/>
          <w:color w:val="000000"/>
          <w:sz w:val="32"/>
          <w:szCs w:val="32"/>
        </w:rPr>
        <w:t>万元 。单位严格执行上级下达对三公经费的控制政策，上年“三公”经费总计</w:t>
      </w:r>
      <w:r>
        <w:rPr>
          <w:rFonts w:hint="eastAsia" w:eastAsia="仿宋_GB2312" w:cs="仿宋"/>
          <w:color w:val="000000"/>
          <w:sz w:val="32"/>
          <w:szCs w:val="32"/>
          <w:lang w:val="en-US" w:eastAsia="zh-CN"/>
        </w:rPr>
        <w:t>49.95</w:t>
      </w:r>
      <w:r>
        <w:rPr>
          <w:rFonts w:hint="eastAsia" w:eastAsia="仿宋_GB2312" w:cs="仿宋"/>
          <w:color w:val="000000"/>
          <w:sz w:val="32"/>
          <w:szCs w:val="32"/>
        </w:rPr>
        <w:t>万元，其中，公务用车购置及运行维护费</w:t>
      </w:r>
      <w:r>
        <w:rPr>
          <w:rFonts w:hint="eastAsia" w:eastAsia="仿宋_GB2312" w:cs="仿宋"/>
          <w:color w:val="000000"/>
          <w:sz w:val="32"/>
          <w:szCs w:val="32"/>
          <w:lang w:val="en-US" w:eastAsia="zh-CN"/>
        </w:rPr>
        <w:t>32.60</w:t>
      </w:r>
      <w:r>
        <w:rPr>
          <w:rFonts w:hint="eastAsia" w:eastAsia="仿宋_GB2312" w:cs="仿宋"/>
          <w:color w:val="000000"/>
          <w:sz w:val="32"/>
          <w:szCs w:val="32"/>
        </w:rPr>
        <w:t>万元（</w:t>
      </w:r>
      <w:r>
        <w:rPr>
          <w:rFonts w:hint="eastAsia" w:eastAsia="仿宋_GB2312" w:cs="仿宋"/>
          <w:color w:val="000000"/>
          <w:sz w:val="32"/>
          <w:szCs w:val="32"/>
          <w:lang w:val="en-US" w:eastAsia="zh-CN"/>
        </w:rPr>
        <w:t>增加1.05万元，因11月新增特种专用车1辆</w:t>
      </w:r>
      <w:r>
        <w:rPr>
          <w:rFonts w:hint="eastAsia" w:eastAsia="仿宋_GB2312" w:cs="仿宋"/>
          <w:color w:val="000000"/>
          <w:sz w:val="32"/>
          <w:szCs w:val="32"/>
        </w:rPr>
        <w:t>）、国内公务接待费</w:t>
      </w:r>
      <w:r>
        <w:rPr>
          <w:rFonts w:hint="eastAsia" w:eastAsia="仿宋_GB2312" w:cs="仿宋"/>
          <w:color w:val="000000"/>
          <w:sz w:val="32"/>
          <w:szCs w:val="32"/>
          <w:lang w:val="en-US" w:eastAsia="zh-CN"/>
        </w:rPr>
        <w:t>10.44</w:t>
      </w:r>
      <w:r>
        <w:rPr>
          <w:rFonts w:hint="eastAsia" w:eastAsia="仿宋_GB2312" w:cs="仿宋"/>
          <w:color w:val="000000"/>
          <w:sz w:val="32"/>
          <w:szCs w:val="32"/>
        </w:rPr>
        <w:t>万元（减少</w:t>
      </w:r>
      <w:r>
        <w:rPr>
          <w:rFonts w:hint="eastAsia" w:eastAsia="仿宋_GB2312" w:cs="仿宋"/>
          <w:color w:val="000000"/>
          <w:sz w:val="32"/>
          <w:szCs w:val="32"/>
          <w:lang w:val="en-US" w:eastAsia="zh-CN"/>
        </w:rPr>
        <w:t>3.2</w:t>
      </w:r>
      <w:r>
        <w:rPr>
          <w:rFonts w:hint="eastAsia" w:eastAsia="仿宋_GB2312" w:cs="仿宋"/>
          <w:color w:val="000000"/>
          <w:sz w:val="32"/>
          <w:szCs w:val="32"/>
        </w:rPr>
        <w:t>万元）；公务用车保有量</w:t>
      </w:r>
      <w:r>
        <w:rPr>
          <w:rFonts w:hint="eastAsia" w:eastAsia="仿宋_GB2312" w:cs="仿宋"/>
          <w:color w:val="000000"/>
          <w:sz w:val="32"/>
          <w:szCs w:val="32"/>
          <w:lang w:val="en-US" w:eastAsia="zh-CN"/>
        </w:rPr>
        <w:t>8</w:t>
      </w:r>
      <w:r>
        <w:rPr>
          <w:rFonts w:hint="eastAsia" w:eastAsia="仿宋_GB2312" w:cs="仿宋"/>
          <w:color w:val="000000"/>
          <w:sz w:val="32"/>
          <w:szCs w:val="32"/>
        </w:rPr>
        <w:t>辆。</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2.预算调整。全年无预算调整。</w:t>
      </w:r>
    </w:p>
    <w:p>
      <w:pPr>
        <w:spacing w:line="600" w:lineRule="exact"/>
        <w:ind w:firstLine="629" w:firstLineChars="196"/>
        <w:rPr>
          <w:rFonts w:ascii="楷体_GB2312" w:eastAsia="楷体_GB2312"/>
          <w:b/>
          <w:color w:val="000000"/>
          <w:sz w:val="32"/>
          <w:szCs w:val="32"/>
        </w:rPr>
      </w:pPr>
      <w:r>
        <w:rPr>
          <w:rFonts w:hint="eastAsia" w:ascii="楷体_GB2312" w:eastAsia="楷体_GB2312"/>
          <w:b/>
          <w:color w:val="000000"/>
          <w:sz w:val="32"/>
          <w:szCs w:val="32"/>
        </w:rPr>
        <w:t>（三）综合管理情况</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1.政府采购。认真编制部门政府采购预算，严格按政府采购管理规定进行采购。201</w:t>
      </w:r>
      <w:r>
        <w:rPr>
          <w:rFonts w:hint="eastAsia" w:eastAsia="仿宋_GB2312" w:cs="仿宋"/>
          <w:color w:val="000000"/>
          <w:sz w:val="32"/>
          <w:szCs w:val="32"/>
          <w:lang w:val="en-US" w:eastAsia="zh-CN"/>
        </w:rPr>
        <w:t>9</w:t>
      </w:r>
      <w:r>
        <w:rPr>
          <w:rFonts w:hint="eastAsia" w:eastAsia="仿宋_GB2312" w:cs="仿宋"/>
          <w:color w:val="000000"/>
          <w:sz w:val="32"/>
          <w:szCs w:val="32"/>
        </w:rPr>
        <w:t>年度本单位共有</w:t>
      </w:r>
      <w:r>
        <w:rPr>
          <w:rFonts w:hint="eastAsia" w:eastAsia="仿宋_GB2312" w:cs="仿宋"/>
          <w:color w:val="000000"/>
          <w:sz w:val="32"/>
          <w:szCs w:val="32"/>
          <w:lang w:val="en-US" w:eastAsia="zh-CN"/>
        </w:rPr>
        <w:t>129.70</w:t>
      </w:r>
      <w:r>
        <w:rPr>
          <w:rFonts w:hint="eastAsia" w:eastAsia="仿宋_GB2312" w:cs="仿宋"/>
          <w:color w:val="000000"/>
          <w:sz w:val="32"/>
          <w:szCs w:val="32"/>
        </w:rPr>
        <w:t>万元涉及政府采购，全部按照采购相关流程操作办理并进行公告公示。</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2.资产管理。一是加强资产管理信息系统建设，确定专人负责资产管理，将局属单位国有资产全部纳入系统进行管理，及时对资产变动情况进行处理。二是积极开展资产清查工作，及时更新资产管理作息系统，确保资产数据与上报财政资产清查结果一致。三是做好资产上报工作，落实专人负责资产报表上报工作，认真填报报表，做到内容完整，数据真实，及时上报资产报表。</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3.内控管理。严格按财政部门规定，组织开展内控绩效评价，建立健全内控管理制度，严格组织实施，强化内控管理，资金支出符合国家财经法规、财务管理制度以及有关资金管理办法的规定，资金的拨付有完整的审批过程和手续，项目支出按规定经过评估论证，支出符合部门预算批复的用途。资金使用无截留、挤占、挪用、虚列支出等情况，单位没有出现廉政风险，也没重大责任事故发生。</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4.信息公开。严格按财政部门规定时间和要求，及时对单位的预算信息、决算信息在遂宁市人民政府网上公开。对机关运行经费、三公经费等使用管理情况及时向局局务会、党组会进行汇报和公开。保证了基础数据信息和会计信息资料真实、完整，基础数据信息和汇集信息资料准确。</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 xml:space="preserve">5.绩效评价。一是按财政部门要求，组织局机关、局属单位开展部门整体绩效评价和专项绩效评价工作。二是认真做好整改工作，通过绩效评价，查漏补缺，及时整改提高。 </w:t>
      </w:r>
    </w:p>
    <w:p>
      <w:pPr>
        <w:shd w:val="clear" w:color="auto" w:fill="FFFFFF"/>
        <w:overflowPunct w:val="0"/>
        <w:spacing w:line="600" w:lineRule="exact"/>
        <w:ind w:firstLine="640" w:firstLineChars="200"/>
        <w:rPr>
          <w:rFonts w:eastAsia="仿宋_GB2312" w:cs="仿宋"/>
          <w:color w:val="000000"/>
          <w:sz w:val="32"/>
          <w:szCs w:val="32"/>
        </w:rPr>
      </w:pPr>
      <w:r>
        <w:rPr>
          <w:rFonts w:hint="eastAsia" w:eastAsia="仿宋_GB2312" w:cs="仿宋"/>
          <w:color w:val="000000"/>
          <w:sz w:val="32"/>
          <w:szCs w:val="32"/>
        </w:rPr>
        <w:t>6.财政监督。一是按要求开展自查自纠工作，及时报送相关报告和报表。二是主动接受财政、纪委监督检查，认真做好整改工作。</w:t>
      </w:r>
    </w:p>
    <w:p>
      <w:pPr>
        <w:spacing w:line="600" w:lineRule="exact"/>
        <w:ind w:firstLine="629" w:firstLineChars="196"/>
        <w:rPr>
          <w:rFonts w:ascii="楷体_GB2312" w:eastAsia="楷体_GB2312"/>
          <w:b/>
          <w:color w:val="000000"/>
          <w:sz w:val="32"/>
          <w:szCs w:val="32"/>
        </w:rPr>
      </w:pPr>
      <w:r>
        <w:rPr>
          <w:rFonts w:hint="eastAsia" w:ascii="楷体_GB2312" w:eastAsia="楷体_GB2312"/>
          <w:b/>
          <w:color w:val="000000"/>
          <w:sz w:val="32"/>
          <w:szCs w:val="32"/>
        </w:rPr>
        <w:t>（四）整体绩效</w:t>
      </w:r>
    </w:p>
    <w:p>
      <w:pPr>
        <w:spacing w:line="600" w:lineRule="exact"/>
        <w:ind w:firstLine="627" w:firstLineChars="196"/>
        <w:rPr>
          <w:rFonts w:eastAsia="楷体"/>
          <w:b/>
          <w:color w:val="000000"/>
          <w:sz w:val="32"/>
          <w:szCs w:val="32"/>
        </w:rPr>
      </w:pPr>
      <w:r>
        <w:rPr>
          <w:rFonts w:eastAsia="仿宋"/>
          <w:color w:val="000000"/>
          <w:sz w:val="32"/>
          <w:szCs w:val="32"/>
        </w:rPr>
        <w:t>1.部门预算支出绩效。</w:t>
      </w:r>
    </w:p>
    <w:p>
      <w:pPr>
        <w:spacing w:line="600" w:lineRule="exact"/>
        <w:ind w:firstLine="627" w:firstLineChars="196"/>
        <w:rPr>
          <w:rFonts w:eastAsia="楷体"/>
          <w:b/>
          <w:color w:val="000000"/>
          <w:sz w:val="32"/>
          <w:szCs w:val="32"/>
        </w:rPr>
      </w:pPr>
      <w:r>
        <w:rPr>
          <w:rFonts w:eastAsia="仿宋"/>
          <w:color w:val="000000"/>
          <w:sz w:val="32"/>
          <w:szCs w:val="32"/>
        </w:rPr>
        <w:t>（1）行政运转保障。</w:t>
      </w:r>
      <w:r>
        <w:rPr>
          <w:rFonts w:hint="eastAsia" w:eastAsia="仿宋"/>
          <w:color w:val="000000"/>
          <w:sz w:val="32"/>
          <w:szCs w:val="32"/>
        </w:rPr>
        <w:t>农业</w:t>
      </w:r>
      <w:r>
        <w:rPr>
          <w:rFonts w:hint="eastAsia" w:eastAsia="仿宋"/>
          <w:color w:val="000000"/>
          <w:sz w:val="32"/>
          <w:szCs w:val="32"/>
          <w:lang w:val="en-US" w:eastAsia="zh-CN"/>
        </w:rPr>
        <w:t>农村</w:t>
      </w:r>
      <w:r>
        <w:rPr>
          <w:rFonts w:hint="eastAsia" w:eastAsia="仿宋"/>
          <w:color w:val="000000"/>
          <w:sz w:val="32"/>
          <w:szCs w:val="32"/>
        </w:rPr>
        <w:t>局</w:t>
      </w:r>
      <w:r>
        <w:rPr>
          <w:rFonts w:eastAsia="仿宋"/>
          <w:color w:val="000000"/>
          <w:sz w:val="32"/>
          <w:szCs w:val="32"/>
        </w:rPr>
        <w:t>201</w:t>
      </w:r>
      <w:r>
        <w:rPr>
          <w:rFonts w:hint="eastAsia" w:eastAsia="仿宋"/>
          <w:color w:val="000000"/>
          <w:sz w:val="32"/>
          <w:szCs w:val="32"/>
          <w:lang w:val="en-US" w:eastAsia="zh-CN"/>
        </w:rPr>
        <w:t>9</w:t>
      </w:r>
      <w:r>
        <w:rPr>
          <w:rFonts w:eastAsia="仿宋"/>
          <w:color w:val="000000"/>
          <w:sz w:val="32"/>
          <w:szCs w:val="32"/>
        </w:rPr>
        <w:t>年根据运转需求，安排日常公用经费，保障了</w:t>
      </w:r>
      <w:r>
        <w:rPr>
          <w:rFonts w:hint="eastAsia" w:eastAsia="仿宋"/>
          <w:color w:val="000000"/>
          <w:sz w:val="32"/>
          <w:szCs w:val="32"/>
        </w:rPr>
        <w:t>机关</w:t>
      </w:r>
      <w:r>
        <w:rPr>
          <w:rFonts w:eastAsia="仿宋"/>
          <w:color w:val="000000"/>
          <w:sz w:val="32"/>
          <w:szCs w:val="32"/>
        </w:rPr>
        <w:t>行政运转。</w:t>
      </w:r>
    </w:p>
    <w:p>
      <w:pPr>
        <w:spacing w:line="600" w:lineRule="exact"/>
        <w:ind w:left="319" w:leftChars="152" w:firstLine="320" w:firstLineChars="100"/>
        <w:rPr>
          <w:rFonts w:hint="default" w:eastAsia="仿宋"/>
          <w:color w:val="000000"/>
          <w:sz w:val="32"/>
          <w:szCs w:val="32"/>
          <w:lang w:val="en-US" w:eastAsia="zh-CN"/>
        </w:rPr>
      </w:pPr>
      <w:r>
        <w:rPr>
          <w:rFonts w:eastAsia="仿宋"/>
          <w:color w:val="000000"/>
          <w:sz w:val="32"/>
          <w:szCs w:val="32"/>
        </w:rPr>
        <w:t>（2）</w:t>
      </w:r>
      <w:r>
        <w:rPr>
          <w:rFonts w:hint="eastAsia" w:eastAsia="仿宋"/>
          <w:color w:val="000000"/>
          <w:sz w:val="32"/>
          <w:szCs w:val="32"/>
          <w:lang w:val="en-US" w:eastAsia="zh-CN"/>
        </w:rPr>
        <w:t>重点项目绩效评价。市财政局关于下达2019年市级财政“遂宁鲜”公共品牌以奖代补资金850万元，项目资金已按照进度支，支付金额与预算及计划相符。通过中省市各大媒体多角度、全方位加大“遂宁鲜”品牌宣传推广、通过各类展示展销活动让“遂宁鲜”农产品走出四川、走出国门。</w:t>
      </w:r>
    </w:p>
    <w:p>
      <w:pPr>
        <w:spacing w:line="600" w:lineRule="exact"/>
        <w:ind w:firstLine="629" w:firstLineChars="196"/>
        <w:rPr>
          <w:rFonts w:ascii="楷体_GB2312" w:eastAsia="楷体_GB2312"/>
          <w:b/>
          <w:color w:val="000000"/>
          <w:sz w:val="32"/>
          <w:szCs w:val="32"/>
        </w:rPr>
      </w:pPr>
      <w:r>
        <w:rPr>
          <w:rFonts w:ascii="楷体_GB2312" w:eastAsia="楷体_GB2312"/>
          <w:b/>
          <w:color w:val="000000"/>
          <w:sz w:val="32"/>
          <w:szCs w:val="32"/>
        </w:rPr>
        <w:t>（五）财务管理情况。</w:t>
      </w:r>
    </w:p>
    <w:p>
      <w:pPr>
        <w:spacing w:line="600" w:lineRule="exact"/>
        <w:ind w:firstLine="800" w:firstLineChars="250"/>
        <w:rPr>
          <w:rFonts w:eastAsia="楷体"/>
          <w:b/>
          <w:color w:val="000000"/>
          <w:sz w:val="32"/>
          <w:szCs w:val="32"/>
        </w:rPr>
      </w:pPr>
      <w:r>
        <w:rPr>
          <w:rFonts w:eastAsia="仿宋"/>
          <w:color w:val="000000"/>
          <w:sz w:val="32"/>
          <w:szCs w:val="32"/>
        </w:rPr>
        <w:t>财务管理制度健全，会计核算和账务处理能够执行相关制度。</w:t>
      </w:r>
    </w:p>
    <w:p>
      <w:pPr>
        <w:spacing w:line="600" w:lineRule="exact"/>
        <w:ind w:firstLine="629" w:firstLineChars="196"/>
        <w:rPr>
          <w:rFonts w:ascii="楷体_GB2312" w:eastAsia="楷体_GB2312"/>
          <w:b/>
          <w:color w:val="000000"/>
          <w:sz w:val="32"/>
          <w:szCs w:val="32"/>
        </w:rPr>
      </w:pPr>
      <w:r>
        <w:rPr>
          <w:rFonts w:hint="eastAsia" w:ascii="楷体_GB2312" w:eastAsia="楷体_GB2312"/>
          <w:b/>
          <w:color w:val="000000"/>
          <w:sz w:val="32"/>
          <w:szCs w:val="32"/>
        </w:rPr>
        <w:t>（六）绩效管理工作开展情况。</w:t>
      </w:r>
    </w:p>
    <w:p>
      <w:pPr>
        <w:spacing w:line="600" w:lineRule="exact"/>
        <w:ind w:firstLine="784" w:firstLineChars="245"/>
        <w:rPr>
          <w:rFonts w:eastAsia="楷体"/>
          <w:b/>
          <w:color w:val="000000"/>
          <w:sz w:val="32"/>
          <w:szCs w:val="32"/>
        </w:rPr>
      </w:pPr>
      <w:r>
        <w:rPr>
          <w:rFonts w:eastAsia="仿宋"/>
          <w:color w:val="000000"/>
          <w:sz w:val="32"/>
          <w:szCs w:val="32"/>
        </w:rPr>
        <w:t>201</w:t>
      </w:r>
      <w:r>
        <w:rPr>
          <w:rFonts w:hint="eastAsia" w:eastAsia="仿宋"/>
          <w:color w:val="000000"/>
          <w:sz w:val="32"/>
          <w:szCs w:val="32"/>
          <w:lang w:val="en-US" w:eastAsia="zh-CN"/>
        </w:rPr>
        <w:t>9</w:t>
      </w:r>
      <w:r>
        <w:rPr>
          <w:rFonts w:eastAsia="仿宋"/>
          <w:color w:val="000000"/>
          <w:sz w:val="32"/>
          <w:szCs w:val="32"/>
        </w:rPr>
        <w:t>年7月，</w:t>
      </w:r>
      <w:r>
        <w:rPr>
          <w:rFonts w:hint="eastAsia" w:eastAsia="仿宋"/>
          <w:color w:val="000000"/>
          <w:sz w:val="32"/>
          <w:szCs w:val="32"/>
        </w:rPr>
        <w:t>农业局</w:t>
      </w:r>
      <w:r>
        <w:rPr>
          <w:rFonts w:eastAsia="仿宋"/>
          <w:color w:val="000000"/>
          <w:sz w:val="32"/>
          <w:szCs w:val="32"/>
        </w:rPr>
        <w:t>向财政局报送了《遂宁市</w:t>
      </w:r>
      <w:r>
        <w:rPr>
          <w:rFonts w:hint="eastAsia" w:eastAsia="仿宋"/>
          <w:color w:val="000000"/>
          <w:sz w:val="32"/>
          <w:szCs w:val="32"/>
        </w:rPr>
        <w:t>农业局</w:t>
      </w:r>
      <w:r>
        <w:rPr>
          <w:rFonts w:eastAsia="仿宋"/>
          <w:color w:val="000000"/>
          <w:sz w:val="32"/>
          <w:szCs w:val="32"/>
        </w:rPr>
        <w:t>整体支出绩效报告》，对当年绩效按要求进行评价。</w:t>
      </w:r>
    </w:p>
    <w:p>
      <w:pPr>
        <w:shd w:val="clear" w:color="auto" w:fill="FFFFFF"/>
        <w:overflowPunct w:val="0"/>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四、评价结论及建议</w:t>
      </w:r>
    </w:p>
    <w:p>
      <w:pPr>
        <w:spacing w:line="600" w:lineRule="exact"/>
        <w:ind w:firstLine="629" w:firstLineChars="196"/>
        <w:rPr>
          <w:rFonts w:ascii="楷体_GB2312" w:eastAsia="楷体_GB2312"/>
          <w:b/>
          <w:color w:val="000000"/>
          <w:sz w:val="32"/>
          <w:szCs w:val="32"/>
        </w:rPr>
      </w:pPr>
      <w:r>
        <w:rPr>
          <w:rFonts w:hint="eastAsia" w:ascii="楷体_GB2312" w:eastAsia="楷体_GB2312"/>
          <w:b/>
          <w:color w:val="000000"/>
          <w:sz w:val="32"/>
          <w:szCs w:val="32"/>
        </w:rPr>
        <w:t>（一）评价结论</w:t>
      </w:r>
    </w:p>
    <w:p>
      <w:pPr>
        <w:shd w:val="clear" w:color="auto" w:fill="FFFFFF"/>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根据部门整体支出绩效评价指标规定的内容，经我单位认真自评，201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年度部门整体绩效评价得分为</w:t>
      </w:r>
      <w:r>
        <w:rPr>
          <w:rFonts w:hint="eastAsia" w:ascii="仿宋_GB2312" w:hAnsi="仿宋_GB2312" w:eastAsia="仿宋_GB2312" w:cs="仿宋_GB2312"/>
          <w:color w:val="000000"/>
          <w:sz w:val="32"/>
          <w:szCs w:val="32"/>
          <w:lang w:val="en-US" w:eastAsia="zh-CN"/>
        </w:rPr>
        <w:t>94</w:t>
      </w:r>
      <w:r>
        <w:rPr>
          <w:rFonts w:hint="eastAsia" w:ascii="仿宋_GB2312" w:hAnsi="仿宋_GB2312" w:eastAsia="仿宋_GB2312" w:cs="仿宋_GB2312"/>
          <w:color w:val="000000"/>
          <w:sz w:val="32"/>
          <w:szCs w:val="32"/>
        </w:rPr>
        <w:t>分。全年，我局严格按照市级部门预算编制通知和有关要求，按时完成了基础库、项目库报送工作。预算编制准确，市人大预工委顺利通过我局预算，没有任何修改和调整项目。部门整体绩效目标编制完整、合理，项目绩效目标编制明确、量化。严格执行了</w:t>
      </w:r>
      <w:r>
        <w:rPr>
          <w:rFonts w:hint="eastAsia" w:ascii="仿宋_GB2312" w:hAnsi="仿宋_GB2312" w:eastAsia="仿宋_GB2312" w:cs="仿宋_GB2312"/>
          <w:color w:val="000000"/>
          <w:sz w:val="32"/>
          <w:szCs w:val="32"/>
          <w:lang w:eastAsia="zh-CN"/>
        </w:rPr>
        <w:t>“三公”经费</w:t>
      </w:r>
      <w:r>
        <w:rPr>
          <w:rFonts w:hint="eastAsia" w:ascii="仿宋_GB2312" w:hAnsi="仿宋_GB2312" w:eastAsia="仿宋_GB2312" w:cs="仿宋_GB2312"/>
          <w:color w:val="000000"/>
          <w:sz w:val="32"/>
          <w:szCs w:val="32"/>
        </w:rPr>
        <w:t>预算，按要求及时公开预算、决算、绩效等信息。按要求及时、准确、全面开展资产清查工作，上报国有资产报表数据真实、准确、全面。内部控制制度健全完整并执行良好，在本年度内未出现廉政风险和发生重大责任事故。</w:t>
      </w:r>
    </w:p>
    <w:p>
      <w:pPr>
        <w:spacing w:line="600" w:lineRule="exact"/>
        <w:ind w:firstLine="629" w:firstLineChars="196"/>
        <w:rPr>
          <w:rFonts w:ascii="楷体_GB2312" w:eastAsia="楷体_GB2312"/>
          <w:b/>
          <w:color w:val="000000"/>
          <w:sz w:val="32"/>
          <w:szCs w:val="32"/>
        </w:rPr>
      </w:pPr>
      <w:r>
        <w:rPr>
          <w:rFonts w:hint="eastAsia" w:ascii="楷体_GB2312" w:eastAsia="楷体_GB2312"/>
          <w:b/>
          <w:color w:val="000000"/>
          <w:sz w:val="32"/>
          <w:szCs w:val="32"/>
        </w:rPr>
        <w:t>（二）存在问题</w:t>
      </w:r>
    </w:p>
    <w:p>
      <w:pPr>
        <w:shd w:val="clear" w:color="auto" w:fill="FFFFFF"/>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预算执行缺乏强有力的约束机制，个别经济事项费用报销不及时，影响预算执行进度。</w:t>
      </w:r>
    </w:p>
    <w:p>
      <w:pPr>
        <w:spacing w:line="600" w:lineRule="exact"/>
        <w:ind w:firstLine="629" w:firstLineChars="196"/>
        <w:rPr>
          <w:rFonts w:ascii="楷体_GB2312" w:eastAsia="楷体_GB2312"/>
          <w:b/>
          <w:color w:val="000000"/>
          <w:sz w:val="32"/>
          <w:szCs w:val="32"/>
        </w:rPr>
      </w:pPr>
      <w:r>
        <w:rPr>
          <w:rFonts w:hint="eastAsia" w:ascii="楷体_GB2312" w:eastAsia="楷体_GB2312"/>
          <w:b/>
          <w:color w:val="000000"/>
          <w:sz w:val="32"/>
          <w:szCs w:val="32"/>
        </w:rPr>
        <w:t>（三）改进措施</w:t>
      </w:r>
    </w:p>
    <w:p>
      <w:pPr>
        <w:shd w:val="clear" w:color="auto" w:fill="FFFFFF"/>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1.正视问题，认真整改。根据财政专项检查结果和绩效评价意见，进一步优化内控制度，强化事前监督，严肃财经纪律，加强经费审核，确保资金安全。</w:t>
      </w:r>
    </w:p>
    <w:p>
      <w:pPr>
        <w:shd w:val="clear" w:color="auto" w:fill="FFFFFF"/>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2.优化预算编制，加强预算执行。合理安排预算支出计划，优化资金支出结构，强化资金统筹管理和绩效管理，确保部门有效运转，切实采取有效措施，加强预算执行力度。</w:t>
      </w:r>
    </w:p>
    <w:p>
      <w:pPr>
        <w:shd w:val="clear" w:color="auto" w:fill="FFFFFF"/>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强化学习，提高综合素质。农业计财工作涉及面广，政策性强，知识更新快，积极组织开展思想政治和业务知识学习，不断提高政治理论修养，坚持理论与实践相结合，不断思考和探索推进工作的新思路、新途径、新方法，不断提高纸综合素质。</w:t>
      </w:r>
    </w:p>
    <w:p>
      <w:pPr>
        <w:spacing w:line="600" w:lineRule="exact"/>
        <w:jc w:val="center"/>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spacing w:line="580" w:lineRule="exact"/>
        <w:ind w:firstLine="640" w:firstLineChars="200"/>
        <w:rPr>
          <w:rFonts w:ascii="仿宋_GB2312" w:hAnsi="仿宋_GB2312" w:eastAsia="仿宋_GB2312" w:cs="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项目支出绩效自评报告</w:t>
      </w:r>
    </w:p>
    <w:p>
      <w:pPr>
        <w:jc w:val="center"/>
        <w:rPr>
          <w:rFonts w:ascii="楷体_GB2312" w:eastAsia="楷体_GB2312"/>
          <w:sz w:val="32"/>
          <w:szCs w:val="32"/>
        </w:rPr>
      </w:pPr>
      <w:r>
        <w:rPr>
          <w:rFonts w:hint="eastAsia" w:ascii="楷体_GB2312" w:eastAsia="楷体_GB2312"/>
          <w:sz w:val="32"/>
          <w:szCs w:val="32"/>
        </w:rPr>
        <w:t>（“遂宁鲜”公共品牌宣传推广工作项目）</w:t>
      </w:r>
    </w:p>
    <w:p>
      <w:pPr>
        <w:pStyle w:val="23"/>
        <w:overflowPunct w:val="0"/>
        <w:ind w:left="640" w:firstLine="0" w:firstLineChars="0"/>
        <w:rPr>
          <w:rFonts w:ascii="黑体" w:hAnsi="黑体" w:eastAsia="黑体"/>
          <w:sz w:val="32"/>
          <w:szCs w:val="32"/>
        </w:rPr>
      </w:pPr>
    </w:p>
    <w:p>
      <w:pPr>
        <w:pStyle w:val="23"/>
        <w:overflowPunct w:val="0"/>
        <w:spacing w:line="590" w:lineRule="exact"/>
        <w:ind w:left="640" w:firstLine="0" w:firstLineChars="0"/>
        <w:rPr>
          <w:rFonts w:ascii="黑体" w:hAnsi="黑体" w:eastAsia="黑体"/>
          <w:sz w:val="32"/>
          <w:szCs w:val="32"/>
        </w:rPr>
      </w:pPr>
      <w:r>
        <w:rPr>
          <w:rFonts w:hint="eastAsia" w:ascii="黑体" w:hAnsi="黑体" w:eastAsia="黑体"/>
          <w:sz w:val="32"/>
          <w:szCs w:val="32"/>
        </w:rPr>
        <w:t>一、项目概况</w:t>
      </w:r>
    </w:p>
    <w:p>
      <w:pPr>
        <w:spacing w:line="590" w:lineRule="exact"/>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按照市委、市政府加强农业品牌建设的总体部署，切实加大农产品区域公用品牌“遂宁鲜”的培育和推广力度，品牌知名度和市场占有率进一步</w:t>
      </w:r>
      <w:r>
        <w:rPr>
          <w:rFonts w:eastAsia="仿宋_GB2312"/>
          <w:bCs/>
          <w:color w:val="000000"/>
          <w:sz w:val="32"/>
          <w:szCs w:val="32"/>
        </w:rPr>
        <w:t>提升。</w:t>
      </w:r>
      <w:r>
        <w:rPr>
          <w:rFonts w:eastAsia="仿宋_GB2312"/>
          <w:color w:val="000000"/>
          <w:sz w:val="32"/>
          <w:szCs w:val="32"/>
        </w:rPr>
        <w:t>2019年，向</w:t>
      </w:r>
      <w:r>
        <w:rPr>
          <w:rFonts w:hint="eastAsia" w:ascii="仿宋_GB2312" w:hAnsi="仿宋" w:eastAsia="仿宋_GB2312" w:cs="仿宋"/>
          <w:color w:val="000000"/>
          <w:sz w:val="32"/>
          <w:szCs w:val="32"/>
        </w:rPr>
        <w:t>市委市政府报送了《“遂宁鲜”农产品区域公用品牌建设情况的报告》，得到市委邵革军书记“要将我市这一金字招牌做得更响、更亮、更远”的批示。起草制订了《</w:t>
      </w:r>
      <w:r>
        <w:rPr>
          <w:rFonts w:hint="eastAsia" w:eastAsia="仿宋_GB2312"/>
          <w:color w:val="000000"/>
          <w:sz w:val="32"/>
          <w:szCs w:val="32"/>
        </w:rPr>
        <w:t>2019年</w:t>
      </w:r>
      <w:r>
        <w:rPr>
          <w:rFonts w:hint="eastAsia" w:ascii="仿宋_GB2312" w:hAnsi="仿宋" w:eastAsia="仿宋_GB2312" w:cs="仿宋"/>
          <w:color w:val="000000"/>
          <w:sz w:val="32"/>
          <w:szCs w:val="32"/>
        </w:rPr>
        <w:t>“遂宁鲜”营销方案》，报局党组同意后组织实施。</w:t>
      </w:r>
      <w:r>
        <w:rPr>
          <w:rFonts w:hint="eastAsia" w:ascii="仿宋_GB2312" w:eastAsia="仿宋_GB2312"/>
          <w:color w:val="000000"/>
          <w:sz w:val="32"/>
          <w:szCs w:val="32"/>
        </w:rPr>
        <w:t>借助射洪金柠公司、四川纵横公司在北京的建设项目，植入线上营销和线下体验结</w:t>
      </w:r>
      <w:r>
        <w:rPr>
          <w:rFonts w:hint="eastAsia" w:eastAsia="仿宋_GB2312"/>
          <w:color w:val="000000"/>
          <w:sz w:val="32"/>
          <w:szCs w:val="32"/>
        </w:rPr>
        <w:t>合的O2O营销模</w:t>
      </w:r>
      <w:r>
        <w:rPr>
          <w:rFonts w:hint="eastAsia" w:ascii="仿宋_GB2312" w:eastAsia="仿宋_GB2312"/>
          <w:color w:val="000000"/>
          <w:sz w:val="32"/>
          <w:szCs w:val="32"/>
        </w:rPr>
        <w:t>式拓展营销渠道。市农业农村局牵头在成都双流机场建设“遂宁鲜”直销店。</w:t>
      </w:r>
      <w:r>
        <w:rPr>
          <w:rFonts w:hint="eastAsia" w:ascii="仿宋_GB2312" w:hAnsi="仿宋" w:eastAsia="仿宋_GB2312" w:cs="仿宋"/>
          <w:bCs/>
          <w:color w:val="000000"/>
          <w:sz w:val="32"/>
          <w:szCs w:val="32"/>
        </w:rPr>
        <w:t>“遂宁鲜”宣传、展示展销、线上线下建设等。</w:t>
      </w:r>
    </w:p>
    <w:p>
      <w:pPr>
        <w:overflowPunct w:val="0"/>
        <w:spacing w:line="590" w:lineRule="exact"/>
        <w:ind w:firstLine="640" w:firstLineChars="200"/>
        <w:rPr>
          <w:rFonts w:ascii="楷体_GB2312" w:eastAsia="楷体_GB2312"/>
          <w:sz w:val="32"/>
          <w:szCs w:val="32"/>
        </w:rPr>
      </w:pPr>
      <w:r>
        <w:rPr>
          <w:rFonts w:hint="eastAsia" w:ascii="楷体_GB2312" w:eastAsia="楷体_GB2312"/>
          <w:sz w:val="32"/>
          <w:szCs w:val="32"/>
        </w:rPr>
        <w:t>（一）项目资金申报及批复情况</w:t>
      </w:r>
    </w:p>
    <w:p>
      <w:pPr>
        <w:pStyle w:val="23"/>
        <w:overflowPunct w:val="0"/>
        <w:spacing w:line="590" w:lineRule="exact"/>
        <w:ind w:firstLine="640"/>
        <w:rPr>
          <w:rFonts w:ascii="仿宋_GB2312" w:eastAsia="仿宋_GB2312"/>
          <w:sz w:val="32"/>
          <w:szCs w:val="32"/>
        </w:rPr>
      </w:pPr>
      <w:r>
        <w:rPr>
          <w:rFonts w:hint="eastAsia" w:eastAsia="仿宋_GB2312"/>
          <w:color w:val="000000"/>
          <w:sz w:val="32"/>
          <w:szCs w:val="32"/>
        </w:rPr>
        <w:t>2019年2月26日市农业局向市政府送呈了《遂宁市农业局</w:t>
      </w:r>
      <w:r>
        <w:rPr>
          <w:rFonts w:hint="eastAsia" w:ascii="仿宋_GB2312" w:eastAsia="仿宋_GB2312"/>
          <w:sz w:val="32"/>
          <w:szCs w:val="32"/>
        </w:rPr>
        <w:t>关</w:t>
      </w:r>
      <w:r>
        <w:rPr>
          <w:rFonts w:hint="eastAsia" w:eastAsia="仿宋_GB2312"/>
          <w:color w:val="000000"/>
          <w:sz w:val="32"/>
          <w:szCs w:val="32"/>
        </w:rPr>
        <w:t>于2019</w:t>
      </w:r>
      <w:r>
        <w:rPr>
          <w:rFonts w:hint="eastAsia" w:ascii="仿宋_GB2312" w:eastAsia="仿宋_GB2312"/>
          <w:sz w:val="32"/>
          <w:szCs w:val="32"/>
        </w:rPr>
        <w:t>年“遂宁鲜”营销资金使用方案的请示》、</w:t>
      </w:r>
      <w:r>
        <w:rPr>
          <w:rFonts w:hint="eastAsia" w:eastAsia="仿宋_GB2312"/>
          <w:color w:val="000000"/>
          <w:sz w:val="32"/>
          <w:szCs w:val="32"/>
        </w:rPr>
        <w:t>2018年</w:t>
      </w:r>
      <w:r>
        <w:rPr>
          <w:rFonts w:hint="eastAsia" w:ascii="仿宋_GB2312" w:eastAsia="仿宋_GB2312"/>
          <w:sz w:val="32"/>
          <w:szCs w:val="32"/>
        </w:rPr>
        <w:t>《遂宁市农业局关于“遂宁鲜”北京市场拓展项目方案的请示》</w:t>
      </w:r>
      <w:r>
        <w:rPr>
          <w:rFonts w:hint="eastAsia" w:eastAsia="仿宋_GB2312"/>
          <w:color w:val="000000"/>
          <w:sz w:val="32"/>
          <w:szCs w:val="32"/>
        </w:rPr>
        <w:t>，4月市财政局向市政府提交了《遂宁市财政局关于市级</w:t>
      </w:r>
      <w:r>
        <w:rPr>
          <w:rFonts w:hint="eastAsia" w:ascii="仿宋_GB2312" w:eastAsia="仿宋_GB2312"/>
          <w:sz w:val="32"/>
          <w:szCs w:val="32"/>
        </w:rPr>
        <w:t>财政“遂宁鲜”品牌营销资金安排的情况说明》，</w:t>
      </w:r>
      <w:r>
        <w:rPr>
          <w:rFonts w:hint="eastAsia" w:eastAsia="仿宋_GB2312"/>
          <w:color w:val="000000"/>
          <w:sz w:val="32"/>
          <w:szCs w:val="32"/>
        </w:rPr>
        <w:t>4月</w:t>
      </w:r>
      <w:r>
        <w:rPr>
          <w:rFonts w:hint="eastAsia" w:ascii="仿宋_GB2312" w:eastAsia="仿宋_GB2312"/>
          <w:sz w:val="32"/>
          <w:szCs w:val="32"/>
        </w:rPr>
        <w:t>，市政府主要领导批示同意。市财政局关于下</w:t>
      </w:r>
      <w:r>
        <w:rPr>
          <w:rFonts w:hint="eastAsia" w:eastAsia="仿宋_GB2312"/>
          <w:color w:val="000000"/>
          <w:sz w:val="32"/>
          <w:szCs w:val="32"/>
        </w:rPr>
        <w:t>达2019年</w:t>
      </w:r>
      <w:r>
        <w:rPr>
          <w:rFonts w:hint="eastAsia" w:ascii="仿宋_GB2312" w:eastAsia="仿宋_GB2312"/>
          <w:sz w:val="32"/>
          <w:szCs w:val="32"/>
        </w:rPr>
        <w:t>市级财政“遂宁鲜”公共品牌以奖代补资</w:t>
      </w:r>
      <w:r>
        <w:rPr>
          <w:rFonts w:hint="eastAsia" w:eastAsia="仿宋_GB2312"/>
          <w:color w:val="000000"/>
          <w:sz w:val="32"/>
          <w:szCs w:val="32"/>
        </w:rPr>
        <w:t>金850万元。</w:t>
      </w:r>
    </w:p>
    <w:p>
      <w:pPr>
        <w:overflowPunct w:val="0"/>
        <w:spacing w:line="590" w:lineRule="exact"/>
        <w:ind w:firstLine="640" w:firstLineChars="200"/>
        <w:rPr>
          <w:rFonts w:ascii="楷体_GB2312" w:eastAsia="楷体_GB2312"/>
          <w:sz w:val="32"/>
          <w:szCs w:val="32"/>
        </w:rPr>
      </w:pPr>
      <w:r>
        <w:rPr>
          <w:rFonts w:hint="eastAsia" w:ascii="楷体_GB2312" w:eastAsia="楷体_GB2312"/>
          <w:sz w:val="32"/>
          <w:szCs w:val="32"/>
        </w:rPr>
        <w:t>（二）项目绩效目标</w:t>
      </w:r>
    </w:p>
    <w:p>
      <w:pPr>
        <w:spacing w:line="590" w:lineRule="exact"/>
        <w:ind w:firstLine="640" w:firstLineChars="200"/>
        <w:jc w:val="left"/>
        <w:rPr>
          <w:rFonts w:ascii="仿宋_GB2312" w:eastAsia="仿宋_GB2312"/>
          <w:color w:val="000000"/>
          <w:sz w:val="32"/>
          <w:szCs w:val="32"/>
        </w:rPr>
      </w:pPr>
      <w:r>
        <w:rPr>
          <w:rFonts w:hint="eastAsia" w:eastAsia="仿宋_GB2312"/>
          <w:color w:val="000000"/>
          <w:sz w:val="32"/>
          <w:szCs w:val="32"/>
        </w:rPr>
        <w:t>2019年起在北京、成都、遂宁开展的三店建设主要是依托</w:t>
      </w:r>
      <w:r>
        <w:rPr>
          <w:rFonts w:hint="eastAsia" w:ascii="仿宋_GB2312" w:eastAsia="仿宋_GB2312"/>
          <w:sz w:val="32"/>
          <w:szCs w:val="32"/>
        </w:rPr>
        <w:t>“遂宁鲜”会员单位渠道和建设项目，植入“遂宁鲜”建设项目。</w:t>
      </w:r>
      <w:r>
        <w:rPr>
          <w:rFonts w:hint="eastAsia" w:ascii="仿宋_GB2312" w:eastAsia="仿宋_GB2312"/>
          <w:color w:val="000000"/>
          <w:sz w:val="32"/>
          <w:szCs w:val="32"/>
        </w:rPr>
        <w:t>以遂宁涉农企业为主体，借助销售渠道，拓展北京市场，借助“遂宁鲜”农产品展示体验平台，实现遂宁农业、遂宁城市文化外宣功能；达到助农增收、助企增效，有效实现优质农产品产品溢价功能。具体承担建设任务的单位，在实现利润后，推行利润分成，反哺“遂宁鲜”协会会员单位、生产企业、生产农户的模式，推动遂宁农业发展。</w:t>
      </w:r>
    </w:p>
    <w:p>
      <w:pPr>
        <w:spacing w:line="590" w:lineRule="exact"/>
        <w:ind w:firstLine="640" w:firstLineChars="200"/>
        <w:jc w:val="left"/>
        <w:rPr>
          <w:rFonts w:eastAsia="仿宋_GB2312"/>
          <w:color w:val="000000"/>
          <w:sz w:val="32"/>
          <w:szCs w:val="32"/>
        </w:rPr>
      </w:pPr>
      <w:r>
        <w:rPr>
          <w:rFonts w:hint="eastAsia" w:ascii="仿宋_GB2312" w:hAnsi="仿宋" w:eastAsia="仿宋_GB2312" w:cs="仿宋"/>
          <w:color w:val="000000"/>
          <w:sz w:val="32"/>
          <w:szCs w:val="32"/>
        </w:rPr>
        <w:t>一是通过中、省、市各大媒体多角度、全方位加大“遂宁鲜”品牌宣传推广。</w:t>
      </w:r>
      <w:r>
        <w:rPr>
          <w:rFonts w:hint="eastAsia" w:ascii="仿宋_GB2312" w:hAnsi="仿宋" w:eastAsia="仿宋_GB2312" w:cs="仿宋"/>
          <w:bCs/>
          <w:color w:val="000000"/>
          <w:sz w:val="32"/>
          <w:szCs w:val="32"/>
        </w:rPr>
        <w:t>二是</w:t>
      </w:r>
      <w:r>
        <w:rPr>
          <w:rFonts w:hint="eastAsia" w:ascii="仿宋_GB2312" w:hAnsi="仿宋" w:eastAsia="仿宋_GB2312" w:cs="仿宋"/>
          <w:color w:val="000000"/>
          <w:sz w:val="32"/>
          <w:szCs w:val="32"/>
        </w:rPr>
        <w:t>在成南高速路、遂西高速路、高速路服务区，以及遂宁城区街道、社区、万达商城、游船等地开展“遂宁鲜”广告宣传。</w:t>
      </w:r>
      <w:r>
        <w:rPr>
          <w:rFonts w:hint="eastAsia" w:ascii="仿宋_GB2312" w:hAnsi="仿宋" w:eastAsia="仿宋_GB2312" w:cs="仿宋"/>
          <w:bCs/>
          <w:color w:val="000000"/>
          <w:sz w:val="32"/>
          <w:szCs w:val="32"/>
        </w:rPr>
        <w:t>三是</w:t>
      </w:r>
      <w:r>
        <w:rPr>
          <w:rFonts w:hint="eastAsia" w:ascii="仿宋_GB2312" w:hAnsi="仿宋" w:eastAsia="仿宋_GB2312" w:cs="仿宋"/>
          <w:color w:val="000000"/>
          <w:sz w:val="32"/>
          <w:szCs w:val="32"/>
        </w:rPr>
        <w:t>借助荷花仙子（“遂宁鲜”代言人）选拔赛、灯会、龙舟赛等活动开展“遂宁鲜”宣传。四是通过各类展示展销活动让“遂宁鲜”农产品走出四川，走出国门。目标</w:t>
      </w:r>
      <w:r>
        <w:rPr>
          <w:rFonts w:hint="eastAsia" w:eastAsia="仿宋_GB2312"/>
          <w:color w:val="000000"/>
          <w:sz w:val="32"/>
          <w:szCs w:val="32"/>
        </w:rPr>
        <w:t>是2019年，</w:t>
      </w:r>
      <w:r>
        <w:rPr>
          <w:rFonts w:hint="eastAsia" w:ascii="仿宋_GB2312" w:hAnsi="仿宋" w:eastAsia="仿宋_GB2312" w:cs="仿宋"/>
          <w:color w:val="000000"/>
          <w:sz w:val="32"/>
          <w:szCs w:val="32"/>
        </w:rPr>
        <w:t>“遂宁鲜”农产品销售额</w:t>
      </w:r>
      <w:r>
        <w:rPr>
          <w:rFonts w:hint="eastAsia" w:eastAsia="仿宋_GB2312"/>
          <w:color w:val="000000"/>
          <w:sz w:val="32"/>
          <w:szCs w:val="32"/>
        </w:rPr>
        <w:t>将达60亿元，比去年增长5%以上。</w:t>
      </w:r>
    </w:p>
    <w:p>
      <w:pPr>
        <w:overflowPunct w:val="0"/>
        <w:spacing w:line="590" w:lineRule="exact"/>
        <w:ind w:firstLine="640" w:firstLineChars="200"/>
        <w:rPr>
          <w:rFonts w:ascii="楷体_GB2312" w:eastAsia="楷体_GB2312"/>
          <w:sz w:val="32"/>
          <w:szCs w:val="32"/>
        </w:rPr>
      </w:pPr>
      <w:r>
        <w:rPr>
          <w:rFonts w:hint="eastAsia" w:ascii="楷体_GB2312" w:eastAsia="楷体_GB2312"/>
          <w:sz w:val="32"/>
          <w:szCs w:val="32"/>
        </w:rPr>
        <w:t>（三）项目资金申报与具体实施内容相符</w:t>
      </w:r>
    </w:p>
    <w:p>
      <w:pPr>
        <w:overflowPunct w:val="0"/>
        <w:spacing w:line="590" w:lineRule="exact"/>
        <w:ind w:firstLine="640" w:firstLineChars="200"/>
        <w:rPr>
          <w:rFonts w:ascii="仿宋_GB2312" w:eastAsia="仿宋_GB2312"/>
          <w:sz w:val="32"/>
          <w:szCs w:val="32"/>
        </w:rPr>
      </w:pPr>
      <w:r>
        <w:rPr>
          <w:rFonts w:hint="eastAsia" w:ascii="仿宋_GB2312" w:eastAsia="仿宋_GB2312"/>
          <w:color w:val="000000"/>
          <w:sz w:val="32"/>
          <w:szCs w:val="32"/>
        </w:rPr>
        <w:t>按照报送市政府同意的</w:t>
      </w:r>
      <w:r>
        <w:rPr>
          <w:rFonts w:hint="eastAsia" w:ascii="仿宋_GB2312" w:eastAsia="仿宋_GB2312"/>
          <w:sz w:val="32"/>
          <w:szCs w:val="32"/>
        </w:rPr>
        <w:t>《遂宁市农业局关</w:t>
      </w:r>
      <w:r>
        <w:rPr>
          <w:rFonts w:hint="eastAsia" w:eastAsia="仿宋_GB2312"/>
          <w:color w:val="000000"/>
          <w:sz w:val="32"/>
          <w:szCs w:val="32"/>
        </w:rPr>
        <w:t>于2019</w:t>
      </w:r>
      <w:r>
        <w:rPr>
          <w:rFonts w:hint="eastAsia" w:ascii="仿宋_GB2312" w:eastAsia="仿宋_GB2312"/>
          <w:sz w:val="32"/>
          <w:szCs w:val="32"/>
        </w:rPr>
        <w:t>年“遂宁鲜”营销资金使用方案的请示》、《遂宁市农业局关于“遂宁鲜”北京市场拓展项目方案的请示》，项目建设内容与申报基本相符。</w:t>
      </w:r>
    </w:p>
    <w:p>
      <w:pPr>
        <w:overflowPunct w:val="0"/>
        <w:spacing w:line="590" w:lineRule="exact"/>
        <w:ind w:firstLine="640" w:firstLineChars="200"/>
        <w:rPr>
          <w:rFonts w:ascii="仿宋_GB2312" w:eastAsia="仿宋_GB2312"/>
          <w:sz w:val="32"/>
          <w:szCs w:val="32"/>
        </w:rPr>
      </w:pPr>
      <w:r>
        <w:rPr>
          <w:rFonts w:hint="eastAsia" w:eastAsia="仿宋_GB2312"/>
          <w:color w:val="000000"/>
          <w:sz w:val="32"/>
          <w:szCs w:val="32"/>
        </w:rPr>
        <w:t>1．</w:t>
      </w:r>
      <w:r>
        <w:rPr>
          <w:rFonts w:hint="eastAsia" w:ascii="仿宋_GB2312" w:eastAsia="仿宋_GB2312"/>
          <w:sz w:val="32"/>
          <w:szCs w:val="32"/>
        </w:rPr>
        <w:t>北京“遂宁鲜”展示展销中心  项目申报建设项目位于北京西三环与西四环之间的位置，建设面积</w:t>
      </w:r>
      <w:r>
        <w:rPr>
          <w:rFonts w:hint="eastAsia" w:eastAsia="仿宋_GB2312"/>
          <w:color w:val="000000"/>
          <w:sz w:val="32"/>
          <w:szCs w:val="32"/>
        </w:rPr>
        <w:t>约600平米。2019</w:t>
      </w:r>
      <w:r>
        <w:rPr>
          <w:rFonts w:hint="eastAsia" w:ascii="仿宋_GB2312" w:hAnsi="仿宋" w:eastAsia="仿宋_GB2312" w:cs="仿宋"/>
          <w:color w:val="000000"/>
          <w:sz w:val="32"/>
          <w:szCs w:val="32"/>
        </w:rPr>
        <w:t>年在北京、遂宁两地新设独立整栋的“遂宁鲜”体验中心</w:t>
      </w:r>
      <w:r>
        <w:rPr>
          <w:rFonts w:hint="eastAsia" w:eastAsia="仿宋_GB2312"/>
          <w:color w:val="000000"/>
          <w:sz w:val="32"/>
          <w:szCs w:val="32"/>
        </w:rPr>
        <w:t>2个。4月29日、5月22日分别在</w:t>
      </w:r>
      <w:r>
        <w:rPr>
          <w:rFonts w:hint="eastAsia" w:ascii="仿宋_GB2312" w:hAnsi="仿宋" w:eastAsia="仿宋_GB2312" w:cs="仿宋"/>
          <w:color w:val="000000"/>
          <w:sz w:val="32"/>
          <w:szCs w:val="32"/>
        </w:rPr>
        <w:t>遂宁河东、北京西二环举行了“遂宁鲜”体验中心运营启动仪式。</w:t>
      </w:r>
    </w:p>
    <w:p>
      <w:pPr>
        <w:overflowPunct w:val="0"/>
        <w:spacing w:line="590" w:lineRule="exact"/>
        <w:ind w:firstLine="640" w:firstLineChars="200"/>
        <w:rPr>
          <w:rFonts w:ascii="仿宋_GB2312" w:eastAsia="仿宋_GB2312"/>
          <w:sz w:val="32"/>
          <w:szCs w:val="32"/>
        </w:rPr>
      </w:pPr>
      <w:r>
        <w:rPr>
          <w:rFonts w:hint="eastAsia" w:ascii="仿宋_GB2312" w:eastAsia="仿宋_GB2312"/>
          <w:sz w:val="32"/>
          <w:szCs w:val="32"/>
        </w:rPr>
        <w:t xml:space="preserve"> </w:t>
      </w:r>
      <w:r>
        <w:rPr>
          <w:rFonts w:hint="eastAsia" w:eastAsia="仿宋_GB2312"/>
          <w:color w:val="000000"/>
          <w:sz w:val="32"/>
          <w:szCs w:val="32"/>
        </w:rPr>
        <w:t>2．</w:t>
      </w:r>
      <w:r>
        <w:rPr>
          <w:rFonts w:hint="eastAsia" w:ascii="仿宋_GB2312" w:eastAsia="仿宋_GB2312"/>
          <w:sz w:val="32"/>
          <w:szCs w:val="32"/>
        </w:rPr>
        <w:t>成都双流机场“遂宁鲜”直销店  申报建设项目位于T2航站楼，面</w:t>
      </w:r>
      <w:r>
        <w:rPr>
          <w:rFonts w:hint="eastAsia" w:eastAsia="仿宋_GB2312"/>
          <w:color w:val="000000"/>
          <w:sz w:val="32"/>
          <w:szCs w:val="32"/>
        </w:rPr>
        <w:t>积50平</w:t>
      </w:r>
      <w:r>
        <w:rPr>
          <w:rFonts w:hint="eastAsia" w:ascii="仿宋_GB2312" w:eastAsia="仿宋_GB2312"/>
          <w:sz w:val="32"/>
          <w:szCs w:val="32"/>
        </w:rPr>
        <w:t>米。目前成都双流机场“遂宁鲜”直销店建设项目位</w:t>
      </w:r>
      <w:r>
        <w:rPr>
          <w:rFonts w:hint="eastAsia" w:eastAsia="仿宋_GB2312"/>
          <w:color w:val="000000"/>
          <w:sz w:val="32"/>
          <w:szCs w:val="32"/>
        </w:rPr>
        <w:t>于T2</w:t>
      </w:r>
      <w:r>
        <w:rPr>
          <w:rFonts w:hint="eastAsia" w:ascii="仿宋_GB2312" w:eastAsia="仿宋_GB2312"/>
          <w:sz w:val="32"/>
          <w:szCs w:val="32"/>
        </w:rPr>
        <w:t>航站楼安检口，人流量大，面</w:t>
      </w:r>
      <w:r>
        <w:rPr>
          <w:rFonts w:hint="eastAsia" w:eastAsia="仿宋_GB2312"/>
          <w:color w:val="000000"/>
          <w:sz w:val="32"/>
          <w:szCs w:val="32"/>
        </w:rPr>
        <w:t>积30余</w:t>
      </w:r>
      <w:r>
        <w:rPr>
          <w:rFonts w:hint="eastAsia" w:ascii="仿宋_GB2312" w:eastAsia="仿宋_GB2312"/>
          <w:sz w:val="32"/>
          <w:szCs w:val="32"/>
        </w:rPr>
        <w:t>平米（新增与机场首信商贸合作，在成都、西安</w:t>
      </w:r>
      <w:r>
        <w:rPr>
          <w:rFonts w:hint="eastAsia" w:eastAsia="仿宋_GB2312"/>
          <w:color w:val="000000"/>
          <w:sz w:val="32"/>
          <w:szCs w:val="32"/>
        </w:rPr>
        <w:t>等11个机</w:t>
      </w:r>
      <w:r>
        <w:rPr>
          <w:rFonts w:hint="eastAsia" w:ascii="仿宋_GB2312" w:eastAsia="仿宋_GB2312"/>
          <w:sz w:val="32"/>
          <w:szCs w:val="32"/>
        </w:rPr>
        <w:t>场放置“遂宁鲜”产品，“遂宁鲜”直销点面积共</w:t>
      </w:r>
      <w:r>
        <w:rPr>
          <w:rFonts w:hint="eastAsia" w:eastAsia="仿宋_GB2312"/>
          <w:color w:val="000000"/>
          <w:sz w:val="32"/>
          <w:szCs w:val="32"/>
        </w:rPr>
        <w:t>达50</w:t>
      </w:r>
      <w:r>
        <w:rPr>
          <w:rFonts w:hint="eastAsia" w:ascii="仿宋_GB2312" w:eastAsia="仿宋_GB2312"/>
          <w:sz w:val="32"/>
          <w:szCs w:val="32"/>
        </w:rPr>
        <w:t>平米）。</w:t>
      </w:r>
    </w:p>
    <w:p>
      <w:pPr>
        <w:overflowPunct w:val="0"/>
        <w:spacing w:line="590" w:lineRule="exact"/>
        <w:ind w:firstLine="640" w:firstLineChars="200"/>
        <w:rPr>
          <w:rFonts w:ascii="仿宋_GB2312" w:eastAsia="仿宋_GB2312"/>
          <w:sz w:val="32"/>
          <w:szCs w:val="32"/>
        </w:rPr>
      </w:pPr>
      <w:r>
        <w:rPr>
          <w:rFonts w:hint="eastAsia" w:eastAsia="仿宋_GB2312"/>
          <w:color w:val="000000"/>
          <w:sz w:val="32"/>
          <w:szCs w:val="32"/>
        </w:rPr>
        <w:t>3．</w:t>
      </w:r>
      <w:r>
        <w:rPr>
          <w:rFonts w:hint="eastAsia" w:ascii="仿宋_GB2312" w:eastAsia="仿宋_GB2312"/>
          <w:sz w:val="32"/>
          <w:szCs w:val="32"/>
        </w:rPr>
        <w:t>北京石门批发市场“遂宁鲜”直销中心 申报建设项目位于北京石门批发市场，目前项目建设地址也在北京石门批发市场。</w:t>
      </w:r>
    </w:p>
    <w:p>
      <w:pPr>
        <w:overflowPunct w:val="0"/>
        <w:spacing w:line="590" w:lineRule="exact"/>
        <w:ind w:firstLine="640" w:firstLineChars="200"/>
        <w:rPr>
          <w:rFonts w:ascii="仿宋_GB2312" w:hAnsi="仿宋" w:eastAsia="仿宋_GB2312" w:cs="仿宋"/>
          <w:color w:val="000000"/>
          <w:sz w:val="32"/>
          <w:szCs w:val="32"/>
        </w:rPr>
      </w:pPr>
      <w:r>
        <w:rPr>
          <w:rFonts w:hint="eastAsia" w:eastAsia="仿宋_GB2312"/>
          <w:color w:val="000000"/>
          <w:sz w:val="32"/>
          <w:szCs w:val="32"/>
        </w:rPr>
        <w:t>4.组</w:t>
      </w:r>
      <w:r>
        <w:rPr>
          <w:rFonts w:hint="eastAsia" w:ascii="仿宋_GB2312" w:hAnsi="仿宋" w:eastAsia="仿宋_GB2312" w:cs="仿宋"/>
          <w:color w:val="000000"/>
          <w:sz w:val="32"/>
          <w:szCs w:val="32"/>
        </w:rPr>
        <w:t>织“遂宁鲜”产品参加各类展会。</w:t>
      </w:r>
    </w:p>
    <w:p>
      <w:pPr>
        <w:spacing w:line="590" w:lineRule="exact"/>
        <w:ind w:firstLine="640" w:firstLineChars="200"/>
        <w:jc w:val="left"/>
        <w:rPr>
          <w:rFonts w:ascii="仿宋_GB2312" w:hAnsi="仿宋" w:eastAsia="仿宋_GB2312" w:cs="仿宋"/>
          <w:color w:val="000000"/>
          <w:sz w:val="32"/>
          <w:szCs w:val="32"/>
        </w:rPr>
      </w:pPr>
      <w:r>
        <w:rPr>
          <w:rFonts w:hint="eastAsia" w:eastAsia="仿宋_GB2312"/>
          <w:color w:val="000000"/>
          <w:sz w:val="32"/>
          <w:szCs w:val="32"/>
        </w:rPr>
        <w:t>5.</w:t>
      </w:r>
      <w:r>
        <w:rPr>
          <w:rFonts w:hint="eastAsia" w:ascii="仿宋_GB2312" w:eastAsia="仿宋_GB2312"/>
          <w:sz w:val="32"/>
          <w:szCs w:val="32"/>
        </w:rPr>
        <w:t>通过各种媒体广告</w:t>
      </w:r>
      <w:r>
        <w:rPr>
          <w:rFonts w:hint="eastAsia" w:ascii="仿宋_GB2312" w:hAnsi="仿宋" w:eastAsia="仿宋_GB2312" w:cs="仿宋"/>
          <w:color w:val="000000"/>
          <w:sz w:val="32"/>
          <w:szCs w:val="32"/>
        </w:rPr>
        <w:t>多角度、全方位加大“遂宁鲜”品牌推广。</w:t>
      </w:r>
    </w:p>
    <w:p>
      <w:pPr>
        <w:spacing w:line="590" w:lineRule="exact"/>
        <w:ind w:firstLine="640" w:firstLineChars="200"/>
        <w:rPr>
          <w:rFonts w:ascii="仿宋_GB2312" w:hAnsi="仿宋" w:eastAsia="仿宋_GB2312" w:cs="仿宋"/>
          <w:color w:val="000000"/>
          <w:sz w:val="32"/>
          <w:szCs w:val="32"/>
        </w:rPr>
      </w:pPr>
      <w:r>
        <w:rPr>
          <w:rFonts w:hint="eastAsia" w:eastAsia="仿宋_GB2312"/>
          <w:color w:val="000000"/>
          <w:sz w:val="32"/>
          <w:szCs w:val="32"/>
        </w:rPr>
        <w:t>6.通</w:t>
      </w:r>
      <w:r>
        <w:rPr>
          <w:rFonts w:hint="eastAsia" w:ascii="仿宋_GB2312" w:hAnsi="仿宋" w:eastAsia="仿宋_GB2312" w:cs="仿宋"/>
          <w:color w:val="000000"/>
          <w:sz w:val="32"/>
          <w:szCs w:val="32"/>
        </w:rPr>
        <w:t>过“遂宁鲜”线上线下店建设丰富“遂宁鲜”产品网销渠道。</w:t>
      </w:r>
    </w:p>
    <w:p>
      <w:pPr>
        <w:pStyle w:val="23"/>
        <w:overflowPunct w:val="0"/>
        <w:spacing w:line="590" w:lineRule="exact"/>
        <w:ind w:left="640" w:firstLine="0" w:firstLineChars="0"/>
        <w:rPr>
          <w:rFonts w:ascii="黑体" w:hAnsi="黑体" w:eastAsia="黑体"/>
          <w:sz w:val="32"/>
          <w:szCs w:val="32"/>
        </w:rPr>
      </w:pPr>
      <w:r>
        <w:rPr>
          <w:rFonts w:hint="eastAsia" w:ascii="黑体" w:hAnsi="黑体" w:eastAsia="黑体"/>
          <w:sz w:val="32"/>
          <w:szCs w:val="32"/>
        </w:rPr>
        <w:t>二、项目实施及管理情况</w:t>
      </w:r>
    </w:p>
    <w:p>
      <w:pPr>
        <w:overflowPunct w:val="0"/>
        <w:spacing w:line="590" w:lineRule="exact"/>
        <w:ind w:firstLine="640" w:firstLineChars="200"/>
        <w:rPr>
          <w:rFonts w:ascii="楷体_GB2312" w:eastAsia="楷体_GB2312"/>
          <w:sz w:val="32"/>
          <w:szCs w:val="32"/>
        </w:rPr>
      </w:pPr>
      <w:r>
        <w:rPr>
          <w:rFonts w:hint="eastAsia" w:ascii="楷体_GB2312" w:eastAsia="楷体_GB2312"/>
          <w:sz w:val="32"/>
          <w:szCs w:val="32"/>
        </w:rPr>
        <w:t>（一）资金计划、到位及使用情况</w:t>
      </w:r>
    </w:p>
    <w:p>
      <w:pPr>
        <w:overflowPunct w:val="0"/>
        <w:spacing w:line="590" w:lineRule="exact"/>
        <w:ind w:firstLine="640" w:firstLineChars="200"/>
        <w:rPr>
          <w:rFonts w:ascii="仿宋_GB2312" w:eastAsia="仿宋_GB2312"/>
          <w:color w:val="000000"/>
          <w:sz w:val="32"/>
          <w:szCs w:val="32"/>
        </w:rPr>
      </w:pPr>
      <w:r>
        <w:rPr>
          <w:rFonts w:hint="eastAsia" w:eastAsia="仿宋_GB2312"/>
          <w:color w:val="000000"/>
          <w:sz w:val="32"/>
          <w:szCs w:val="32"/>
        </w:rPr>
        <w:t>1．</w:t>
      </w:r>
      <w:r>
        <w:rPr>
          <w:rFonts w:hint="eastAsia" w:ascii="仿宋_GB2312" w:eastAsia="仿宋_GB2312"/>
          <w:color w:val="000000"/>
          <w:sz w:val="32"/>
          <w:szCs w:val="32"/>
        </w:rPr>
        <w:t>资金计划及到位情况</w:t>
      </w:r>
    </w:p>
    <w:p>
      <w:pPr>
        <w:overflowPunct w:val="0"/>
        <w:spacing w:line="590" w:lineRule="exact"/>
        <w:ind w:firstLine="640" w:firstLineChars="200"/>
        <w:rPr>
          <w:rFonts w:eastAsia="仿宋_GB2312"/>
          <w:color w:val="000000"/>
          <w:sz w:val="32"/>
          <w:szCs w:val="32"/>
        </w:rPr>
      </w:pPr>
      <w:r>
        <w:rPr>
          <w:rFonts w:hint="eastAsia" w:ascii="仿宋_GB2312" w:eastAsia="仿宋_GB2312"/>
          <w:sz w:val="32"/>
          <w:szCs w:val="32"/>
        </w:rPr>
        <w:t xml:space="preserve"> “遂宁鲜”公共品牌以奖代补资金项目</w:t>
      </w:r>
      <w:r>
        <w:rPr>
          <w:rFonts w:hint="eastAsia" w:eastAsia="仿宋_GB2312"/>
          <w:color w:val="000000"/>
          <w:sz w:val="32"/>
          <w:szCs w:val="32"/>
        </w:rPr>
        <w:t>于2019年4月到位市农产品质量安全中心账户。按照项目推进进度，2019年5月</w:t>
      </w:r>
      <w:r>
        <w:rPr>
          <w:rFonts w:hint="eastAsia" w:ascii="仿宋_GB2312" w:eastAsia="仿宋_GB2312"/>
          <w:color w:val="000000"/>
          <w:sz w:val="32"/>
          <w:szCs w:val="32"/>
        </w:rPr>
        <w:t>支付纵横公司北京项目建设款</w:t>
      </w:r>
      <w:r>
        <w:rPr>
          <w:rFonts w:hint="eastAsia" w:eastAsia="仿宋_GB2312"/>
          <w:color w:val="000000"/>
          <w:sz w:val="32"/>
          <w:szCs w:val="32"/>
        </w:rPr>
        <w:t>项300万元（年房租需500余万元）；10月支付尾款30万元（项目整体工程装修完成）。</w:t>
      </w:r>
    </w:p>
    <w:p>
      <w:pPr>
        <w:overflowPunct w:val="0"/>
        <w:spacing w:line="590" w:lineRule="exact"/>
        <w:ind w:firstLine="640" w:firstLineChars="200"/>
        <w:rPr>
          <w:rFonts w:ascii="仿宋_GB2312" w:eastAsia="仿宋_GB2312"/>
          <w:color w:val="000000"/>
          <w:sz w:val="32"/>
          <w:szCs w:val="32"/>
        </w:rPr>
      </w:pPr>
      <w:r>
        <w:rPr>
          <w:rFonts w:hint="eastAsia" w:ascii="仿宋_GB2312" w:eastAsia="仿宋_GB2312"/>
          <w:sz w:val="32"/>
          <w:szCs w:val="32"/>
        </w:rPr>
        <w:t>成都双流机场“遂宁鲜”直销店项目建设资</w:t>
      </w:r>
      <w:r>
        <w:rPr>
          <w:rFonts w:hint="eastAsia" w:eastAsia="仿宋_GB2312"/>
          <w:color w:val="000000"/>
          <w:sz w:val="32"/>
          <w:szCs w:val="32"/>
        </w:rPr>
        <w:t>金于2019年4月到位市农产品质量安全中心账户。按照项目进度，2019年12</w:t>
      </w:r>
      <w:r>
        <w:rPr>
          <w:rFonts w:hint="eastAsia" w:ascii="仿宋_GB2312" w:eastAsia="仿宋_GB2312"/>
          <w:color w:val="000000"/>
          <w:sz w:val="32"/>
          <w:szCs w:val="32"/>
        </w:rPr>
        <w:t>月支付“遂宁鲜”协会</w:t>
      </w:r>
      <w:r>
        <w:rPr>
          <w:rFonts w:hint="eastAsia" w:eastAsia="仿宋_GB2312"/>
          <w:color w:val="000000"/>
          <w:sz w:val="32"/>
          <w:szCs w:val="32"/>
        </w:rPr>
        <w:t>144万</w:t>
      </w:r>
      <w:r>
        <w:rPr>
          <w:rFonts w:hint="eastAsia" w:ascii="仿宋_GB2312" w:eastAsia="仿宋_GB2312"/>
          <w:color w:val="000000"/>
          <w:sz w:val="32"/>
          <w:szCs w:val="32"/>
        </w:rPr>
        <w:t>元（因项目建设需选择便于宣传、销售，以及成都机场管理方认可，项目落地时间较晚，按照合约先支付部分门面定金）。</w:t>
      </w:r>
    </w:p>
    <w:p>
      <w:pPr>
        <w:overflowPunct w:val="0"/>
        <w:spacing w:line="590" w:lineRule="exact"/>
        <w:ind w:firstLine="640" w:firstLineChars="200"/>
        <w:rPr>
          <w:rFonts w:ascii="仿宋_GB2312" w:eastAsia="仿宋_GB2312"/>
          <w:color w:val="000000"/>
          <w:sz w:val="32"/>
          <w:szCs w:val="32"/>
        </w:rPr>
      </w:pPr>
      <w:r>
        <w:rPr>
          <w:rFonts w:hint="eastAsia" w:ascii="仿宋_GB2312" w:eastAsia="仿宋_GB2312"/>
          <w:sz w:val="32"/>
          <w:szCs w:val="32"/>
        </w:rPr>
        <w:t>北京石门批发市场“遂宁鲜”直销中心以奖代补资</w:t>
      </w:r>
      <w:r>
        <w:rPr>
          <w:rFonts w:hint="eastAsia" w:eastAsia="仿宋_GB2312"/>
          <w:color w:val="000000"/>
          <w:sz w:val="32"/>
          <w:szCs w:val="32"/>
        </w:rPr>
        <w:t>金于2019年4月到位市农产品质量安全中心账户。12月按</w:t>
      </w:r>
      <w:r>
        <w:rPr>
          <w:rFonts w:hint="eastAsia" w:ascii="仿宋_GB2312" w:eastAsia="仿宋_GB2312"/>
          <w:color w:val="000000"/>
          <w:sz w:val="32"/>
          <w:szCs w:val="32"/>
        </w:rPr>
        <w:t>照公司销售遂宁农特</w:t>
      </w:r>
      <w:r>
        <w:rPr>
          <w:rFonts w:hint="eastAsia" w:eastAsia="仿宋_GB2312"/>
          <w:color w:val="000000"/>
          <w:sz w:val="32"/>
          <w:szCs w:val="32"/>
        </w:rPr>
        <w:t>产品1000万元（</w:t>
      </w:r>
      <w:r>
        <w:rPr>
          <w:rFonts w:hint="eastAsia" w:ascii="仿宋_GB2312" w:eastAsia="仿宋_GB2312"/>
          <w:color w:val="000000"/>
          <w:sz w:val="32"/>
          <w:szCs w:val="32"/>
        </w:rPr>
        <w:t>公司提交从射洪等农业生产基地、生产企业、农特产品销售合同、凭证、公司</w:t>
      </w:r>
      <w:r>
        <w:rPr>
          <w:rFonts w:hint="eastAsia" w:ascii="仿宋_GB2312" w:eastAsia="仿宋_GB2312"/>
          <w:color w:val="000000"/>
          <w:sz w:val="32"/>
          <w:szCs w:val="32"/>
          <w:lang w:eastAsia="zh-CN"/>
        </w:rPr>
        <w:t>记账凭证</w:t>
      </w:r>
      <w:r>
        <w:rPr>
          <w:rFonts w:hint="eastAsia" w:ascii="仿宋_GB2312" w:eastAsia="仿宋_GB2312"/>
          <w:color w:val="000000"/>
          <w:sz w:val="32"/>
          <w:szCs w:val="32"/>
        </w:rPr>
        <w:t>、银行转</w:t>
      </w:r>
      <w:r>
        <w:rPr>
          <w:rFonts w:hint="eastAsia" w:ascii="仿宋_GB2312" w:eastAsia="仿宋_GB2312"/>
          <w:color w:val="000000"/>
          <w:sz w:val="32"/>
          <w:szCs w:val="32"/>
          <w:lang w:eastAsia="zh-CN"/>
        </w:rPr>
        <w:t>账单</w:t>
      </w:r>
      <w:r>
        <w:rPr>
          <w:rFonts w:hint="eastAsia" w:ascii="仿宋_GB2312" w:eastAsia="仿宋_GB2312"/>
          <w:color w:val="000000"/>
          <w:sz w:val="32"/>
          <w:szCs w:val="32"/>
        </w:rPr>
        <w:t>等作为佐证依据），按照奖补政策（遂</w:t>
      </w:r>
      <w:r>
        <w:rPr>
          <w:rFonts w:hint="eastAsia" w:eastAsia="仿宋_GB2312"/>
          <w:color w:val="000000"/>
          <w:sz w:val="32"/>
          <w:szCs w:val="32"/>
        </w:rPr>
        <w:t>农发〔2018〕14号）和比</w:t>
      </w:r>
      <w:r>
        <w:rPr>
          <w:rFonts w:hint="eastAsia" w:ascii="仿宋_GB2312" w:eastAsia="仿宋_GB2312"/>
          <w:color w:val="000000"/>
          <w:sz w:val="32"/>
          <w:szCs w:val="32"/>
        </w:rPr>
        <w:t>例给</w:t>
      </w:r>
      <w:r>
        <w:rPr>
          <w:rFonts w:hint="eastAsia" w:eastAsia="仿宋_GB2312"/>
          <w:color w:val="000000"/>
          <w:sz w:val="32"/>
          <w:szCs w:val="32"/>
        </w:rPr>
        <w:t>予32.5万元</w:t>
      </w:r>
      <w:r>
        <w:rPr>
          <w:rFonts w:hint="eastAsia" w:ascii="仿宋_GB2312" w:eastAsia="仿宋_GB2312"/>
          <w:color w:val="000000"/>
          <w:sz w:val="32"/>
          <w:szCs w:val="32"/>
        </w:rPr>
        <w:t>奖励。</w:t>
      </w:r>
    </w:p>
    <w:p>
      <w:pPr>
        <w:overflowPunct w:val="0"/>
        <w:spacing w:line="59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“遂宁鲜”宣传、展示展销、线上线下商城建设，严格按照上报方案进行合同签订，项目验收进度拨付。</w:t>
      </w:r>
    </w:p>
    <w:p>
      <w:pPr>
        <w:overflowPunct w:val="0"/>
        <w:spacing w:line="590" w:lineRule="exact"/>
        <w:ind w:firstLine="640" w:firstLineChars="200"/>
        <w:rPr>
          <w:rFonts w:ascii="仿宋_GB2312" w:eastAsia="仿宋_GB2312"/>
          <w:color w:val="000000"/>
          <w:sz w:val="32"/>
          <w:szCs w:val="32"/>
        </w:rPr>
      </w:pPr>
      <w:r>
        <w:rPr>
          <w:rFonts w:hint="eastAsia" w:eastAsia="仿宋_GB2312"/>
          <w:color w:val="000000"/>
          <w:sz w:val="32"/>
          <w:szCs w:val="32"/>
        </w:rPr>
        <w:t>2．</w:t>
      </w:r>
      <w:r>
        <w:rPr>
          <w:rFonts w:hint="eastAsia" w:ascii="仿宋_GB2312" w:eastAsia="仿宋_GB2312"/>
          <w:color w:val="000000"/>
          <w:sz w:val="32"/>
          <w:szCs w:val="32"/>
        </w:rPr>
        <w:t>资金使用。项目资金已按照进度支付，相应项目承担单位也已按照合同支付相关单位。支付金额与预算及计划相符。</w:t>
      </w:r>
    </w:p>
    <w:p>
      <w:pPr>
        <w:overflowPunct w:val="0"/>
        <w:spacing w:line="590" w:lineRule="exact"/>
        <w:ind w:firstLine="640" w:firstLineChars="200"/>
        <w:rPr>
          <w:rFonts w:ascii="楷体_GB2312" w:eastAsia="楷体_GB2312"/>
          <w:sz w:val="32"/>
          <w:szCs w:val="32"/>
        </w:rPr>
      </w:pPr>
      <w:r>
        <w:rPr>
          <w:rFonts w:hint="eastAsia" w:ascii="楷体_GB2312" w:eastAsia="楷体_GB2312"/>
          <w:sz w:val="32"/>
          <w:szCs w:val="32"/>
        </w:rPr>
        <w:t>（二）项目财务管理情况</w:t>
      </w:r>
    </w:p>
    <w:p>
      <w:pPr>
        <w:overflowPunct w:val="0"/>
        <w:spacing w:line="590" w:lineRule="exact"/>
        <w:ind w:firstLine="640" w:firstLineChars="200"/>
        <w:rPr>
          <w:rFonts w:ascii="仿宋_GB2312" w:eastAsia="仿宋_GB2312"/>
          <w:color w:val="000000"/>
          <w:sz w:val="32"/>
          <w:szCs w:val="32"/>
        </w:rPr>
      </w:pPr>
      <w:r>
        <w:rPr>
          <w:rFonts w:hint="eastAsia" w:eastAsia="仿宋_GB2312"/>
          <w:color w:val="000000"/>
          <w:sz w:val="32"/>
          <w:szCs w:val="32"/>
        </w:rPr>
        <w:t>1．</w:t>
      </w:r>
      <w:r>
        <w:rPr>
          <w:rFonts w:hint="eastAsia" w:ascii="仿宋_GB2312" w:eastAsia="仿宋_GB2312"/>
          <w:color w:val="000000"/>
          <w:sz w:val="32"/>
          <w:szCs w:val="32"/>
        </w:rPr>
        <w:t>按照项目申报方案及以奖代补计算方案，均按照项目进度分期</w:t>
      </w:r>
      <w:r>
        <w:rPr>
          <w:rFonts w:hint="eastAsia" w:ascii="仿宋_GB2312" w:eastAsia="仿宋_GB2312"/>
          <w:color w:val="000000"/>
          <w:sz w:val="32"/>
          <w:szCs w:val="32"/>
          <w:lang w:eastAsia="zh-CN"/>
        </w:rPr>
        <w:t>拨付</w:t>
      </w:r>
      <w:r>
        <w:rPr>
          <w:rFonts w:hint="eastAsia" w:ascii="仿宋_GB2312" w:eastAsia="仿宋_GB2312"/>
          <w:color w:val="000000"/>
          <w:sz w:val="32"/>
          <w:szCs w:val="32"/>
        </w:rPr>
        <w:t>，财务处理及时，会计核算规范。</w:t>
      </w:r>
    </w:p>
    <w:p>
      <w:pPr>
        <w:overflowPunct w:val="0"/>
        <w:spacing w:line="590" w:lineRule="exact"/>
        <w:ind w:firstLine="640" w:firstLineChars="200"/>
        <w:rPr>
          <w:rFonts w:ascii="仿宋_GB2312" w:eastAsia="仿宋_GB2312"/>
          <w:color w:val="000000"/>
          <w:sz w:val="32"/>
          <w:szCs w:val="32"/>
        </w:rPr>
      </w:pPr>
      <w:r>
        <w:rPr>
          <w:rFonts w:hint="eastAsia" w:eastAsia="仿宋_GB2312"/>
          <w:color w:val="000000"/>
          <w:sz w:val="32"/>
          <w:szCs w:val="32"/>
        </w:rPr>
        <w:t>2．</w:t>
      </w:r>
      <w:r>
        <w:rPr>
          <w:rFonts w:hint="eastAsia" w:ascii="仿宋_GB2312" w:eastAsia="仿宋_GB2312"/>
          <w:color w:val="000000"/>
          <w:sz w:val="32"/>
          <w:szCs w:val="32"/>
        </w:rPr>
        <w:t>项目建设补助资金均用于项目建设。</w:t>
      </w:r>
    </w:p>
    <w:p>
      <w:pPr>
        <w:overflowPunct w:val="0"/>
        <w:spacing w:line="590" w:lineRule="exact"/>
        <w:ind w:firstLine="640" w:firstLineChars="200"/>
        <w:rPr>
          <w:rFonts w:ascii="仿宋_GB2312" w:eastAsia="仿宋_GB2312"/>
          <w:color w:val="000000"/>
          <w:sz w:val="32"/>
          <w:szCs w:val="32"/>
        </w:rPr>
      </w:pPr>
      <w:r>
        <w:rPr>
          <w:rFonts w:hint="eastAsia" w:eastAsia="仿宋_GB2312"/>
          <w:color w:val="000000"/>
          <w:sz w:val="32"/>
          <w:szCs w:val="32"/>
        </w:rPr>
        <w:t>3．</w:t>
      </w:r>
      <w:r>
        <w:rPr>
          <w:rFonts w:hint="eastAsia" w:ascii="仿宋_GB2312" w:eastAsia="仿宋_GB2312"/>
          <w:color w:val="000000"/>
          <w:sz w:val="32"/>
          <w:szCs w:val="32"/>
        </w:rPr>
        <w:t>项目资金支付实行企业申请、核实进度、及时拨付、经办人</w:t>
      </w:r>
      <w:r>
        <w:rPr>
          <w:rFonts w:hint="eastAsia" w:eastAsia="仿宋_GB2312"/>
          <w:color w:val="000000"/>
          <w:sz w:val="32"/>
          <w:szCs w:val="32"/>
        </w:rPr>
        <w:t>2人</w:t>
      </w:r>
      <w:r>
        <w:rPr>
          <w:rFonts w:hint="eastAsia" w:ascii="仿宋_GB2312" w:eastAsia="仿宋_GB2312"/>
          <w:color w:val="000000"/>
          <w:sz w:val="32"/>
          <w:szCs w:val="32"/>
        </w:rPr>
        <w:t>以上签字等程序。按照财务管理制度开展。</w:t>
      </w:r>
    </w:p>
    <w:p>
      <w:pPr>
        <w:pStyle w:val="23"/>
        <w:overflowPunct w:val="0"/>
        <w:spacing w:line="590" w:lineRule="exact"/>
        <w:ind w:left="640" w:firstLine="0" w:firstLineChars="0"/>
        <w:rPr>
          <w:rFonts w:ascii="黑体" w:hAnsi="黑体" w:eastAsia="黑体"/>
          <w:sz w:val="32"/>
          <w:szCs w:val="32"/>
        </w:rPr>
      </w:pPr>
      <w:r>
        <w:rPr>
          <w:rFonts w:hint="eastAsia" w:ascii="黑体" w:hAnsi="黑体" w:eastAsia="黑体"/>
          <w:sz w:val="32"/>
          <w:szCs w:val="32"/>
        </w:rPr>
        <w:t>三、项目绩效情况</w:t>
      </w:r>
    </w:p>
    <w:p>
      <w:pPr>
        <w:overflowPunct w:val="0"/>
        <w:spacing w:line="59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overflowPunct w:val="0"/>
        <w:spacing w:line="590" w:lineRule="exact"/>
        <w:ind w:firstLine="640" w:firstLineChars="200"/>
        <w:rPr>
          <w:rFonts w:eastAsia="仿宋_GB2312"/>
          <w:color w:val="000000"/>
          <w:sz w:val="32"/>
          <w:szCs w:val="32"/>
        </w:rPr>
      </w:pPr>
      <w:r>
        <w:rPr>
          <w:rFonts w:hint="eastAsia" w:eastAsia="仿宋_GB2312"/>
          <w:color w:val="000000"/>
          <w:sz w:val="32"/>
          <w:szCs w:val="32"/>
        </w:rPr>
        <w:t>1．</w:t>
      </w:r>
      <w:r>
        <w:rPr>
          <w:rFonts w:hint="eastAsia" w:ascii="仿宋_GB2312" w:eastAsia="仿宋_GB2312"/>
          <w:sz w:val="32"/>
          <w:szCs w:val="32"/>
        </w:rPr>
        <w:t>北京“遂宁鲜”体验中心 北京“遂宁鲜”体验中心位于文兴街1号，西二环与西三环之间更靠近北京中心城区，依临北京国谊宾馆，</w:t>
      </w:r>
      <w:r>
        <w:rPr>
          <w:rFonts w:hint="eastAsia" w:eastAsia="仿宋_GB2312"/>
          <w:color w:val="000000"/>
          <w:sz w:val="32"/>
          <w:szCs w:val="32"/>
        </w:rPr>
        <w:t>1200余平米。2018年底建成，经过2019年装修完善、进货梳理，于2019年5月正式营业。由市委主要领导、市政府分管领导参与营动启动仪式。</w:t>
      </w:r>
      <w:r>
        <w:rPr>
          <w:rFonts w:hint="eastAsia" w:eastAsia="仿宋_GB2312"/>
          <w:color w:val="000000"/>
          <w:sz w:val="32"/>
          <w:szCs w:val="32"/>
          <w:lang w:eastAsia="zh-CN"/>
        </w:rPr>
        <w:t>农业农村部</w:t>
      </w:r>
      <w:r>
        <w:rPr>
          <w:rFonts w:hint="eastAsia" w:eastAsia="仿宋_GB2312"/>
          <w:color w:val="000000"/>
          <w:sz w:val="32"/>
          <w:szCs w:val="32"/>
        </w:rPr>
        <w:t>市场司长、四川省农业农村厅领导参加，邀请了在京遂宁知名人士近100人，媒体10余家。</w:t>
      </w:r>
    </w:p>
    <w:p>
      <w:pPr>
        <w:overflowPunct w:val="0"/>
        <w:spacing w:line="590" w:lineRule="exact"/>
        <w:ind w:firstLine="640" w:firstLineChars="200"/>
        <w:rPr>
          <w:rFonts w:eastAsia="仿宋_GB2312"/>
          <w:color w:val="000000"/>
          <w:sz w:val="32"/>
          <w:szCs w:val="32"/>
        </w:rPr>
      </w:pPr>
      <w:r>
        <w:rPr>
          <w:rFonts w:hint="eastAsia" w:eastAsia="仿宋_GB2312"/>
          <w:color w:val="000000"/>
          <w:sz w:val="32"/>
          <w:szCs w:val="32"/>
        </w:rPr>
        <w:t>2．成</w:t>
      </w:r>
      <w:r>
        <w:rPr>
          <w:rFonts w:hint="eastAsia" w:ascii="仿宋_GB2312" w:eastAsia="仿宋_GB2312"/>
          <w:sz w:val="32"/>
          <w:szCs w:val="32"/>
        </w:rPr>
        <w:t>都双流机场“遂宁鲜”直销店  位于</w:t>
      </w:r>
      <w:r>
        <w:rPr>
          <w:rFonts w:hint="eastAsia" w:eastAsia="仿宋_GB2312"/>
          <w:color w:val="000000"/>
          <w:sz w:val="32"/>
          <w:szCs w:val="32"/>
        </w:rPr>
        <w:t>T2航</w:t>
      </w:r>
      <w:r>
        <w:rPr>
          <w:rFonts w:hint="eastAsia" w:ascii="仿宋_GB2312" w:eastAsia="仿宋_GB2312"/>
          <w:sz w:val="32"/>
          <w:szCs w:val="32"/>
        </w:rPr>
        <w:t>站楼安检口正对面，餐饮、咖啡屋旁，门面双开口，人流量大，外设“遂宁鲜”宣传画面两幅（市场</w:t>
      </w:r>
      <w:r>
        <w:rPr>
          <w:rFonts w:hint="eastAsia" w:eastAsia="仿宋_GB2312"/>
          <w:color w:val="000000"/>
          <w:sz w:val="32"/>
          <w:szCs w:val="32"/>
        </w:rPr>
        <w:t>价50万</w:t>
      </w:r>
      <w:r>
        <w:rPr>
          <w:rFonts w:hint="eastAsia" w:ascii="仿宋_GB2312" w:eastAsia="仿宋_GB2312"/>
          <w:sz w:val="32"/>
          <w:szCs w:val="32"/>
        </w:rPr>
        <w:t>元）。与机场首信商贸合作在成都、西安</w:t>
      </w:r>
      <w:r>
        <w:rPr>
          <w:rFonts w:hint="eastAsia" w:eastAsia="仿宋_GB2312"/>
          <w:color w:val="000000"/>
          <w:sz w:val="32"/>
          <w:szCs w:val="32"/>
        </w:rPr>
        <w:t>等11个</w:t>
      </w:r>
      <w:r>
        <w:rPr>
          <w:rFonts w:hint="eastAsia" w:ascii="仿宋_GB2312" w:eastAsia="仿宋_GB2312"/>
          <w:sz w:val="32"/>
          <w:szCs w:val="32"/>
        </w:rPr>
        <w:t>机场放置“遂宁鲜”产品专柜。</w:t>
      </w:r>
      <w:r>
        <w:rPr>
          <w:rFonts w:hint="eastAsia" w:eastAsia="仿宋_GB2312"/>
          <w:color w:val="000000"/>
          <w:sz w:val="32"/>
          <w:szCs w:val="32"/>
        </w:rPr>
        <w:t>2019机</w:t>
      </w:r>
      <w:r>
        <w:rPr>
          <w:rFonts w:hint="eastAsia" w:ascii="仿宋_GB2312" w:eastAsia="仿宋_GB2312"/>
          <w:sz w:val="32"/>
          <w:szCs w:val="32"/>
        </w:rPr>
        <w:t>场门店通过自有门店双流机场销售遂宁鲜产</w:t>
      </w:r>
      <w:r>
        <w:rPr>
          <w:rFonts w:hint="eastAsia" w:eastAsia="仿宋_GB2312"/>
          <w:color w:val="000000"/>
          <w:sz w:val="32"/>
          <w:szCs w:val="32"/>
        </w:rPr>
        <w:t>品近900万元。</w:t>
      </w:r>
    </w:p>
    <w:p>
      <w:pPr>
        <w:overflowPunct w:val="0"/>
        <w:spacing w:line="590" w:lineRule="exact"/>
        <w:ind w:firstLine="640" w:firstLineChars="200"/>
        <w:rPr>
          <w:rFonts w:eastAsia="仿宋_GB2312"/>
          <w:color w:val="000000"/>
          <w:sz w:val="32"/>
          <w:szCs w:val="32"/>
        </w:rPr>
      </w:pPr>
      <w:r>
        <w:rPr>
          <w:rFonts w:hint="eastAsia" w:eastAsia="仿宋_GB2312"/>
          <w:color w:val="000000"/>
          <w:sz w:val="32"/>
          <w:szCs w:val="32"/>
        </w:rPr>
        <w:t>3．</w:t>
      </w:r>
      <w:r>
        <w:rPr>
          <w:rFonts w:hint="eastAsia" w:ascii="仿宋_GB2312" w:eastAsia="仿宋_GB2312"/>
          <w:sz w:val="32"/>
          <w:szCs w:val="32"/>
        </w:rPr>
        <w:t>北京石门批发市场“遂宁鲜”直销中心</w:t>
      </w:r>
      <w:r>
        <w:rPr>
          <w:rFonts w:hint="eastAsia" w:eastAsia="仿宋_GB2312"/>
          <w:color w:val="000000"/>
          <w:sz w:val="32"/>
          <w:szCs w:val="32"/>
        </w:rPr>
        <w:t>至2018年12月，</w:t>
      </w:r>
      <w:r>
        <w:rPr>
          <w:rFonts w:hint="eastAsia" w:ascii="仿宋_GB2312" w:eastAsia="仿宋_GB2312"/>
          <w:sz w:val="32"/>
          <w:szCs w:val="32"/>
        </w:rPr>
        <w:t>三个建设项目均已完成，为达到更好的社会效益和经济效益，其建设地点由市政府分管领导带队，实地考察，多次反复选择，项目建设质量和建成效果较计划有所提升。</w:t>
      </w:r>
      <w:r>
        <w:rPr>
          <w:rFonts w:hint="eastAsia" w:eastAsia="仿宋_GB2312"/>
          <w:color w:val="000000"/>
          <w:sz w:val="32"/>
          <w:szCs w:val="32"/>
        </w:rPr>
        <w:t>销售1500万。</w:t>
      </w:r>
    </w:p>
    <w:p>
      <w:pPr>
        <w:overflowPunct w:val="0"/>
        <w:spacing w:line="590" w:lineRule="exact"/>
        <w:ind w:firstLine="640" w:firstLineChars="200"/>
        <w:rPr>
          <w:rFonts w:ascii="仿宋_GB2312" w:hAnsi="仿宋" w:eastAsia="仿宋_GB2312" w:cs="仿宋"/>
          <w:color w:val="000000"/>
          <w:sz w:val="32"/>
          <w:szCs w:val="32"/>
        </w:rPr>
      </w:pPr>
      <w:r>
        <w:rPr>
          <w:rFonts w:hint="eastAsia" w:eastAsia="仿宋_GB2312"/>
          <w:color w:val="000000"/>
          <w:sz w:val="32"/>
          <w:szCs w:val="32"/>
        </w:rPr>
        <w:t>4.组</w:t>
      </w:r>
      <w:r>
        <w:rPr>
          <w:rFonts w:hint="eastAsia" w:ascii="仿宋_GB2312" w:hAnsi="仿宋" w:eastAsia="仿宋_GB2312" w:cs="仿宋"/>
          <w:color w:val="000000"/>
          <w:sz w:val="32"/>
          <w:szCs w:val="32"/>
        </w:rPr>
        <w:t>织“遂宁鲜”产品参加各类展会。</w:t>
      </w:r>
      <w:r>
        <w:rPr>
          <w:rFonts w:hint="eastAsia" w:eastAsia="仿宋_GB2312"/>
          <w:color w:val="000000"/>
          <w:sz w:val="32"/>
          <w:szCs w:val="32"/>
        </w:rPr>
        <w:t>2019年4月25-28日，</w:t>
      </w:r>
      <w:r>
        <w:rPr>
          <w:rFonts w:hint="eastAsia" w:ascii="仿宋_GB2312" w:hAnsi="仿宋" w:eastAsia="仿宋_GB2312" w:cs="仿宋"/>
          <w:color w:val="000000"/>
          <w:sz w:val="32"/>
          <w:szCs w:val="32"/>
        </w:rPr>
        <w:t>组织</w:t>
      </w:r>
      <w:r>
        <w:rPr>
          <w:rFonts w:hint="eastAsia" w:eastAsia="仿宋_GB2312"/>
          <w:color w:val="000000"/>
          <w:sz w:val="32"/>
          <w:szCs w:val="32"/>
        </w:rPr>
        <w:t>30余</w:t>
      </w:r>
      <w:r>
        <w:rPr>
          <w:rFonts w:hint="eastAsia" w:ascii="仿宋_GB2312" w:hAnsi="仿宋" w:eastAsia="仿宋_GB2312" w:cs="仿宋"/>
          <w:color w:val="000000"/>
          <w:sz w:val="32"/>
          <w:szCs w:val="32"/>
        </w:rPr>
        <w:t>家以“遂宁鲜”为代表的企业参加第七届成都国际都市现代农业博览会,实现销售</w:t>
      </w:r>
      <w:r>
        <w:rPr>
          <w:rFonts w:hint="eastAsia" w:eastAsia="仿宋_GB2312"/>
          <w:color w:val="000000"/>
          <w:sz w:val="32"/>
          <w:szCs w:val="32"/>
        </w:rPr>
        <w:t>48万元，签约1.12亿元。2019年5月21-27日，</w:t>
      </w:r>
      <w:r>
        <w:rPr>
          <w:rFonts w:hint="eastAsia" w:ascii="仿宋_GB2312" w:hAnsi="仿宋" w:eastAsia="仿宋_GB2312" w:cs="仿宋"/>
          <w:color w:val="000000"/>
          <w:sz w:val="32"/>
          <w:szCs w:val="32"/>
        </w:rPr>
        <w:t>“遂宁鲜”组织协</w:t>
      </w:r>
      <w:r>
        <w:rPr>
          <w:rFonts w:hint="eastAsia" w:eastAsia="仿宋_GB2312"/>
          <w:color w:val="000000"/>
          <w:sz w:val="32"/>
          <w:szCs w:val="32"/>
        </w:rPr>
        <w:t>会10家企业、30余</w:t>
      </w:r>
      <w:r>
        <w:rPr>
          <w:rFonts w:hint="eastAsia" w:ascii="仿宋_GB2312" w:hAnsi="仿宋" w:eastAsia="仿宋_GB2312" w:cs="仿宋"/>
          <w:color w:val="000000"/>
          <w:sz w:val="32"/>
          <w:szCs w:val="32"/>
        </w:rPr>
        <w:t>种特色产品到韩国参</w:t>
      </w:r>
      <w:r>
        <w:rPr>
          <w:rFonts w:hint="eastAsia" w:eastAsia="仿宋_GB2312"/>
          <w:color w:val="000000"/>
          <w:sz w:val="32"/>
          <w:szCs w:val="32"/>
        </w:rPr>
        <w:t>加2019年韩国首尔食品展及日本对接会。9月</w:t>
      </w:r>
      <w:r>
        <w:rPr>
          <w:rFonts w:hint="eastAsia" w:ascii="仿宋_GB2312" w:hAnsi="仿宋" w:eastAsia="仿宋_GB2312" w:cs="仿宋"/>
          <w:color w:val="000000"/>
          <w:sz w:val="32"/>
          <w:szCs w:val="32"/>
        </w:rPr>
        <w:t>下旬，在成都承办了第七届四川农博会主题市相关活动，现场签约投资项</w:t>
      </w:r>
      <w:r>
        <w:rPr>
          <w:rFonts w:hint="eastAsia" w:eastAsia="仿宋_GB2312"/>
          <w:color w:val="000000"/>
          <w:sz w:val="32"/>
          <w:szCs w:val="32"/>
        </w:rPr>
        <w:t>目12个，金额51亿元，组织100家企业、1100余个产品参展，现场销售300余万元。市政府邓正权市长受邀在开幕</w:t>
      </w:r>
      <w:r>
        <w:rPr>
          <w:rFonts w:hint="eastAsia" w:ascii="仿宋_GB2312" w:hAnsi="仿宋" w:eastAsia="仿宋_GB2312" w:cs="仿宋"/>
          <w:color w:val="000000"/>
          <w:sz w:val="32"/>
          <w:szCs w:val="32"/>
        </w:rPr>
        <w:t>式上作主旨推介，有力宣传了遂宁农业发展成就和农业品牌。</w:t>
      </w:r>
    </w:p>
    <w:p>
      <w:pPr>
        <w:spacing w:line="590" w:lineRule="exact"/>
        <w:ind w:firstLine="640" w:firstLineChars="200"/>
        <w:jc w:val="left"/>
        <w:rPr>
          <w:rFonts w:ascii="仿宋_GB2312" w:hAnsi="仿宋" w:eastAsia="仿宋_GB2312" w:cs="仿宋"/>
          <w:color w:val="000000"/>
          <w:sz w:val="32"/>
          <w:szCs w:val="32"/>
        </w:rPr>
      </w:pPr>
      <w:r>
        <w:rPr>
          <w:rFonts w:hint="eastAsia" w:eastAsia="仿宋_GB2312"/>
          <w:color w:val="000000"/>
          <w:sz w:val="32"/>
          <w:szCs w:val="32"/>
        </w:rPr>
        <w:t>5．</w:t>
      </w:r>
      <w:r>
        <w:rPr>
          <w:rFonts w:hint="eastAsia" w:ascii="仿宋_GB2312" w:hAnsi="仿宋" w:eastAsia="仿宋_GB2312" w:cs="仿宋"/>
          <w:color w:val="000000"/>
          <w:sz w:val="32"/>
          <w:szCs w:val="32"/>
        </w:rPr>
        <w:t>创新宣传载体和宣传方式，多角度、全方位加大“遂宁鲜”品牌推广。</w:t>
      </w:r>
      <w:r>
        <w:rPr>
          <w:rFonts w:hint="eastAsia" w:ascii="仿宋_GB2312" w:hAnsi="仿宋" w:eastAsia="仿宋_GB2312" w:cs="仿宋"/>
          <w:bCs/>
          <w:color w:val="000000"/>
          <w:sz w:val="32"/>
          <w:szCs w:val="32"/>
        </w:rPr>
        <w:t>一是</w:t>
      </w:r>
      <w:r>
        <w:rPr>
          <w:rFonts w:hint="eastAsia" w:ascii="仿宋_GB2312" w:hAnsi="仿宋" w:eastAsia="仿宋_GB2312" w:cs="仿宋"/>
          <w:color w:val="000000"/>
          <w:sz w:val="32"/>
          <w:szCs w:val="32"/>
        </w:rPr>
        <w:t>在中央电视台农业频道开展“遂宁鲜”广告宣传。</w:t>
      </w:r>
      <w:r>
        <w:rPr>
          <w:rFonts w:hint="eastAsia" w:ascii="仿宋_GB2312" w:hAnsi="仿宋" w:eastAsia="仿宋_GB2312" w:cs="仿宋"/>
          <w:bCs/>
          <w:color w:val="000000"/>
          <w:sz w:val="32"/>
          <w:szCs w:val="32"/>
        </w:rPr>
        <w:t>二是</w:t>
      </w:r>
      <w:r>
        <w:rPr>
          <w:rFonts w:hint="eastAsia" w:ascii="仿宋_GB2312" w:hAnsi="仿宋" w:eastAsia="仿宋_GB2312" w:cs="仿宋"/>
          <w:color w:val="000000"/>
          <w:sz w:val="32"/>
          <w:szCs w:val="32"/>
        </w:rPr>
        <w:t>在省电视台广告宣传，遂宁电视台播放“遂宁鲜”相关新闻；在《遂宁日报》对“遂宁鲜”相关活动进行宣传报道。全年中、省、市各级媒体累计开展相关报道30余次。</w:t>
      </w:r>
      <w:r>
        <w:rPr>
          <w:rFonts w:hint="eastAsia" w:ascii="仿宋_GB2312" w:hAnsi="仿宋" w:eastAsia="仿宋_GB2312" w:cs="仿宋"/>
          <w:bCs/>
          <w:color w:val="000000"/>
          <w:sz w:val="32"/>
          <w:szCs w:val="32"/>
        </w:rPr>
        <w:t>三是</w:t>
      </w:r>
      <w:r>
        <w:rPr>
          <w:rFonts w:hint="eastAsia" w:ascii="仿宋_GB2312" w:hAnsi="仿宋" w:eastAsia="仿宋_GB2312" w:cs="仿宋"/>
          <w:color w:val="000000"/>
          <w:sz w:val="32"/>
          <w:szCs w:val="32"/>
        </w:rPr>
        <w:t>在成南高速路、遂西高速路、高速路服务区，以及遂宁城区街道、社区、万达商城、游船等地开展“遂宁鲜”广告宣传。</w:t>
      </w:r>
      <w:r>
        <w:rPr>
          <w:rFonts w:hint="eastAsia" w:ascii="仿宋_GB2312" w:hAnsi="仿宋" w:eastAsia="仿宋_GB2312" w:cs="仿宋"/>
          <w:bCs/>
          <w:color w:val="000000"/>
          <w:sz w:val="32"/>
          <w:szCs w:val="32"/>
        </w:rPr>
        <w:t>四是</w:t>
      </w:r>
      <w:r>
        <w:rPr>
          <w:rFonts w:hint="eastAsia" w:ascii="仿宋_GB2312" w:hAnsi="仿宋" w:eastAsia="仿宋_GB2312" w:cs="仿宋"/>
          <w:color w:val="000000"/>
          <w:sz w:val="32"/>
          <w:szCs w:val="32"/>
        </w:rPr>
        <w:t>借助荷花仙子（“遂宁鲜”代言人）选拔赛、灯会、龙舟赛等活动开展“遂宁鲜”宣传。</w:t>
      </w:r>
    </w:p>
    <w:p>
      <w:pPr>
        <w:spacing w:line="590" w:lineRule="exact"/>
        <w:ind w:firstLine="640" w:firstLineChars="200"/>
        <w:jc w:val="left"/>
        <w:rPr>
          <w:rFonts w:eastAsia="仿宋_GB2312"/>
          <w:color w:val="000000"/>
          <w:sz w:val="32"/>
          <w:szCs w:val="32"/>
        </w:rPr>
      </w:pPr>
      <w:r>
        <w:rPr>
          <w:rFonts w:hint="eastAsia" w:eastAsia="仿宋_GB2312"/>
          <w:color w:val="000000"/>
          <w:sz w:val="32"/>
          <w:szCs w:val="32"/>
        </w:rPr>
        <w:t>6．通</w:t>
      </w:r>
      <w:r>
        <w:rPr>
          <w:rFonts w:hint="eastAsia" w:ascii="仿宋_GB2312" w:hAnsi="仿宋" w:eastAsia="仿宋_GB2312" w:cs="仿宋"/>
          <w:color w:val="000000"/>
          <w:sz w:val="32"/>
          <w:szCs w:val="32"/>
        </w:rPr>
        <w:t>过“遂宁鲜”电商官方旗舰店、“遂宁鲜”淘宝旗舰店、“遂宁鲜”企业自建平台直销或借助大型网络平台推广销售，新推出“遂宁鲜”微信小程序，做到全市范围内限时物流配送，进一步丰富了“遂宁鲜”产品网销渠道。</w:t>
      </w:r>
      <w:r>
        <w:rPr>
          <w:rFonts w:hint="eastAsia" w:eastAsia="仿宋_GB2312"/>
          <w:color w:val="000000"/>
          <w:sz w:val="32"/>
          <w:szCs w:val="32"/>
        </w:rPr>
        <w:t>2019年</w:t>
      </w:r>
      <w:r>
        <w:rPr>
          <w:rFonts w:hint="eastAsia" w:ascii="仿宋_GB2312" w:hAnsi="仿宋" w:eastAsia="仿宋_GB2312" w:cs="仿宋"/>
          <w:color w:val="000000"/>
          <w:sz w:val="32"/>
          <w:szCs w:val="32"/>
        </w:rPr>
        <w:t>，“遂宁鲜”会员企业产品销售额将</w:t>
      </w:r>
      <w:r>
        <w:rPr>
          <w:rFonts w:hint="eastAsia" w:eastAsia="仿宋_GB2312"/>
          <w:color w:val="000000"/>
          <w:sz w:val="32"/>
          <w:szCs w:val="32"/>
        </w:rPr>
        <w:t>达62亿元，比去年增长10.7%。2019年接受</w:t>
      </w:r>
      <w:r>
        <w:rPr>
          <w:rFonts w:hint="eastAsia" w:ascii="仿宋_GB2312" w:hAnsi="仿宋" w:eastAsia="仿宋_GB2312" w:cs="仿宋"/>
          <w:color w:val="000000"/>
          <w:sz w:val="32"/>
          <w:szCs w:val="32"/>
        </w:rPr>
        <w:t>部、省及各市州领导视察、考察学习“遂宁鲜”品牌建设</w:t>
      </w:r>
      <w:r>
        <w:rPr>
          <w:rFonts w:hint="eastAsia" w:eastAsia="仿宋_GB2312"/>
          <w:color w:val="000000"/>
          <w:sz w:val="32"/>
          <w:szCs w:val="32"/>
        </w:rPr>
        <w:t>20余次，500余人次。</w:t>
      </w:r>
    </w:p>
    <w:p>
      <w:pPr>
        <w:overflowPunct w:val="0"/>
        <w:spacing w:line="59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overflowPunct w:val="0"/>
        <w:spacing w:line="590" w:lineRule="exact"/>
        <w:ind w:firstLine="640" w:firstLineChars="200"/>
        <w:rPr>
          <w:rFonts w:ascii="仿宋_GB2312" w:eastAsia="仿宋_GB2312"/>
          <w:sz w:val="32"/>
          <w:szCs w:val="32"/>
        </w:rPr>
      </w:pPr>
      <w:r>
        <w:rPr>
          <w:rFonts w:hint="eastAsia" w:ascii="仿宋_GB2312" w:eastAsia="仿宋_GB2312"/>
          <w:sz w:val="32"/>
          <w:szCs w:val="32"/>
        </w:rPr>
        <w:t>直接经济社会效益</w:t>
      </w:r>
    </w:p>
    <w:p>
      <w:pPr>
        <w:overflowPunct w:val="0"/>
        <w:spacing w:line="590" w:lineRule="exact"/>
        <w:ind w:firstLine="640" w:firstLineChars="200"/>
        <w:rPr>
          <w:rFonts w:ascii="仿宋_GB2312" w:eastAsia="仿宋_GB2312"/>
          <w:sz w:val="32"/>
          <w:szCs w:val="32"/>
        </w:rPr>
      </w:pPr>
      <w:r>
        <w:rPr>
          <w:rFonts w:hint="eastAsia" w:eastAsia="仿宋_GB2312"/>
          <w:color w:val="000000"/>
          <w:sz w:val="32"/>
          <w:szCs w:val="32"/>
        </w:rPr>
        <w:t>1．北</w:t>
      </w:r>
      <w:r>
        <w:rPr>
          <w:rFonts w:hint="eastAsia" w:ascii="仿宋_GB2312" w:eastAsia="仿宋_GB2312"/>
          <w:sz w:val="32"/>
          <w:szCs w:val="32"/>
        </w:rPr>
        <w:t>京“遂宁鲜”体验中心开业以来，有合作意向的企业</w:t>
      </w:r>
      <w:r>
        <w:rPr>
          <w:rFonts w:hint="eastAsia" w:eastAsia="仿宋_GB2312"/>
          <w:color w:val="000000"/>
          <w:sz w:val="32"/>
          <w:szCs w:val="32"/>
        </w:rPr>
        <w:t>5家，签约3家。体验中心</w:t>
      </w:r>
      <w:r>
        <w:rPr>
          <w:rFonts w:hint="eastAsia" w:ascii="仿宋_GB2312" w:eastAsia="仿宋_GB2312"/>
          <w:sz w:val="32"/>
          <w:szCs w:val="32"/>
        </w:rPr>
        <w:t>宣传遂宁农业文化、城市文化、设立农民工活动中心、培训中心等功能在市委革军书记实地考察后得到了领导的高度评价。目前成为在京遂宁人购买遂宁产品、家乡思乡之情的交流地。</w:t>
      </w:r>
    </w:p>
    <w:p>
      <w:pPr>
        <w:overflowPunct w:val="0"/>
        <w:spacing w:line="590" w:lineRule="exact"/>
        <w:ind w:firstLine="640" w:firstLineChars="200"/>
        <w:rPr>
          <w:rFonts w:ascii="仿宋_GB2312" w:eastAsia="仿宋_GB2312"/>
          <w:sz w:val="32"/>
          <w:szCs w:val="32"/>
        </w:rPr>
      </w:pPr>
      <w:r>
        <w:rPr>
          <w:rFonts w:hint="eastAsia" w:eastAsia="仿宋_GB2312"/>
          <w:color w:val="000000"/>
          <w:sz w:val="32"/>
          <w:szCs w:val="32"/>
        </w:rPr>
        <w:t>2．成</w:t>
      </w:r>
      <w:r>
        <w:rPr>
          <w:rFonts w:hint="eastAsia" w:ascii="仿宋_GB2312" w:eastAsia="仿宋_GB2312"/>
          <w:sz w:val="32"/>
          <w:szCs w:val="32"/>
        </w:rPr>
        <w:t>都双流机场“遂宁鲜”直销点</w:t>
      </w:r>
      <w:r>
        <w:rPr>
          <w:rFonts w:hint="eastAsia" w:eastAsia="仿宋_GB2312"/>
          <w:color w:val="000000"/>
          <w:sz w:val="32"/>
          <w:szCs w:val="32"/>
        </w:rPr>
        <w:t>从2019年正</w:t>
      </w:r>
      <w:r>
        <w:rPr>
          <w:rFonts w:hint="eastAsia" w:ascii="仿宋_GB2312" w:eastAsia="仿宋_GB2312"/>
          <w:sz w:val="32"/>
          <w:szCs w:val="32"/>
        </w:rPr>
        <w:t>式营运以来，在双流机</w:t>
      </w:r>
      <w:r>
        <w:rPr>
          <w:rFonts w:hint="eastAsia" w:eastAsia="仿宋_GB2312"/>
          <w:color w:val="000000"/>
          <w:sz w:val="32"/>
          <w:szCs w:val="32"/>
        </w:rPr>
        <w:t>场T2</w:t>
      </w:r>
      <w:r>
        <w:rPr>
          <w:rFonts w:hint="eastAsia" w:ascii="仿宋_GB2312" w:eastAsia="仿宋_GB2312"/>
          <w:sz w:val="32"/>
          <w:szCs w:val="32"/>
        </w:rPr>
        <w:t>航站楼人流量大的通道获得免费广告宣传位两个，市场</w:t>
      </w:r>
      <w:r>
        <w:rPr>
          <w:rFonts w:hint="eastAsia" w:eastAsia="仿宋_GB2312"/>
          <w:color w:val="000000"/>
          <w:sz w:val="32"/>
          <w:szCs w:val="32"/>
        </w:rPr>
        <w:t>价值50万</w:t>
      </w:r>
      <w:r>
        <w:rPr>
          <w:rFonts w:hint="eastAsia" w:ascii="仿宋_GB2312" w:eastAsia="仿宋_GB2312"/>
          <w:sz w:val="32"/>
          <w:szCs w:val="32"/>
        </w:rPr>
        <w:t>元。销售“遂宁鲜”会员单位</w:t>
      </w:r>
      <w:r>
        <w:rPr>
          <w:rFonts w:hint="eastAsia" w:eastAsia="仿宋_GB2312"/>
          <w:color w:val="000000"/>
          <w:sz w:val="32"/>
          <w:szCs w:val="32"/>
        </w:rPr>
        <w:t>产品20余</w:t>
      </w:r>
      <w:r>
        <w:rPr>
          <w:rFonts w:hint="eastAsia" w:ascii="仿宋_GB2312" w:eastAsia="仿宋_GB2312"/>
          <w:sz w:val="32"/>
          <w:szCs w:val="32"/>
        </w:rPr>
        <w:t>万元。将“遂宁鲜”品牌</w:t>
      </w:r>
      <w:r>
        <w:rPr>
          <w:rFonts w:hint="eastAsia" w:ascii="仿宋_GB2312" w:eastAsia="仿宋_GB2312"/>
          <w:sz w:val="32"/>
          <w:szCs w:val="32"/>
          <w:lang w:eastAsia="zh-CN"/>
        </w:rPr>
        <w:t>辐射</w:t>
      </w:r>
      <w:r>
        <w:rPr>
          <w:rFonts w:hint="eastAsia" w:ascii="仿宋_GB2312" w:eastAsia="仿宋_GB2312"/>
          <w:sz w:val="32"/>
          <w:szCs w:val="32"/>
        </w:rPr>
        <w:t>宣传到</w:t>
      </w:r>
      <w:r>
        <w:rPr>
          <w:rFonts w:hint="eastAsia" w:eastAsia="仿宋_GB2312"/>
          <w:color w:val="000000"/>
          <w:sz w:val="32"/>
          <w:szCs w:val="32"/>
        </w:rPr>
        <w:t>全国11个机</w:t>
      </w:r>
      <w:r>
        <w:rPr>
          <w:rFonts w:hint="eastAsia" w:ascii="仿宋_GB2312" w:eastAsia="仿宋_GB2312"/>
          <w:sz w:val="32"/>
          <w:szCs w:val="32"/>
        </w:rPr>
        <w:t>场。</w:t>
      </w:r>
    </w:p>
    <w:p>
      <w:pPr>
        <w:overflowPunct w:val="0"/>
        <w:spacing w:line="590" w:lineRule="exact"/>
        <w:ind w:firstLine="640" w:firstLineChars="200"/>
        <w:rPr>
          <w:rFonts w:ascii="仿宋_GB2312" w:eastAsia="仿宋_GB2312"/>
          <w:sz w:val="32"/>
          <w:szCs w:val="32"/>
        </w:rPr>
      </w:pPr>
      <w:r>
        <w:rPr>
          <w:rFonts w:hint="eastAsia" w:eastAsia="仿宋_GB2312"/>
          <w:color w:val="000000"/>
          <w:sz w:val="32"/>
          <w:szCs w:val="32"/>
        </w:rPr>
        <w:t>3．</w:t>
      </w:r>
      <w:r>
        <w:rPr>
          <w:rFonts w:hint="eastAsia" w:ascii="仿宋_GB2312" w:eastAsia="仿宋_GB2312"/>
          <w:sz w:val="32"/>
          <w:szCs w:val="32"/>
        </w:rPr>
        <w:t>“遂宁鲜”北京石门批发市场旗舰店，目前年销售额可达</w:t>
      </w:r>
      <w:r>
        <w:rPr>
          <w:rFonts w:hint="eastAsia" w:eastAsia="仿宋_GB2312"/>
          <w:color w:val="000000"/>
          <w:sz w:val="32"/>
          <w:szCs w:val="32"/>
        </w:rPr>
        <w:t>2000万</w:t>
      </w:r>
      <w:r>
        <w:rPr>
          <w:rFonts w:hint="eastAsia" w:ascii="仿宋_GB2312" w:eastAsia="仿宋_GB2312"/>
          <w:sz w:val="32"/>
          <w:szCs w:val="32"/>
        </w:rPr>
        <w:t>元，借助北京四川扶贫产品进京、川货进京、遂宁商会年会、射洪产品北京营销等活动，开展“遂宁鲜”农产品营销活动，带动企</w:t>
      </w:r>
      <w:r>
        <w:rPr>
          <w:rFonts w:hint="eastAsia" w:eastAsia="仿宋_GB2312"/>
          <w:color w:val="000000"/>
          <w:sz w:val="32"/>
          <w:szCs w:val="32"/>
        </w:rPr>
        <w:t>业20余家赴京销售，助推524、金</w:t>
      </w:r>
      <w:r>
        <w:rPr>
          <w:rFonts w:hint="eastAsia" w:ascii="仿宋_GB2312" w:eastAsia="仿宋_GB2312"/>
          <w:sz w:val="32"/>
          <w:szCs w:val="32"/>
        </w:rPr>
        <w:t>柠等企业签订销售合同。</w:t>
      </w:r>
    </w:p>
    <w:p>
      <w:pPr>
        <w:overflowPunct w:val="0"/>
        <w:spacing w:line="590" w:lineRule="exact"/>
        <w:ind w:firstLine="640" w:firstLineChars="200"/>
        <w:rPr>
          <w:rFonts w:ascii="仿宋_GB2312" w:eastAsia="仿宋_GB2312"/>
          <w:sz w:val="32"/>
          <w:szCs w:val="32"/>
        </w:rPr>
      </w:pPr>
      <w:r>
        <w:rPr>
          <w:rFonts w:hint="eastAsia" w:eastAsia="仿宋_GB2312"/>
          <w:color w:val="000000"/>
          <w:sz w:val="32"/>
          <w:szCs w:val="32"/>
        </w:rPr>
        <w:t>4． 2019年，为乡村振兴、为</w:t>
      </w:r>
      <w:r>
        <w:rPr>
          <w:rFonts w:hint="eastAsia" w:ascii="仿宋_GB2312" w:eastAsia="仿宋_GB2312"/>
          <w:sz w:val="32"/>
          <w:szCs w:val="32"/>
        </w:rPr>
        <w:t>农产品及加工品销售尽力，</w:t>
      </w:r>
      <w:r>
        <w:rPr>
          <w:rFonts w:hint="eastAsia" w:ascii="仿宋_GB2312" w:hAnsi="仿宋" w:eastAsia="仿宋_GB2312" w:cs="仿宋"/>
          <w:color w:val="000000"/>
          <w:sz w:val="32"/>
          <w:szCs w:val="32"/>
        </w:rPr>
        <w:t>“遂宁鲜”产品销售额将</w:t>
      </w:r>
      <w:r>
        <w:rPr>
          <w:rFonts w:hint="eastAsia" w:eastAsia="仿宋_GB2312"/>
          <w:color w:val="000000"/>
          <w:sz w:val="32"/>
          <w:szCs w:val="32"/>
        </w:rPr>
        <w:t>达62亿元，比去年增长10.7%。</w:t>
      </w:r>
    </w:p>
    <w:p>
      <w:pPr>
        <w:overflowPunct w:val="0"/>
        <w:spacing w:line="590" w:lineRule="exact"/>
        <w:ind w:firstLine="640" w:firstLineChars="200"/>
        <w:rPr>
          <w:rFonts w:ascii="仿宋_GB2312" w:eastAsia="仿宋_GB2312"/>
          <w:sz w:val="32"/>
          <w:szCs w:val="32"/>
        </w:rPr>
      </w:pPr>
      <w:r>
        <w:rPr>
          <w:rFonts w:hint="eastAsia" w:ascii="仿宋_GB2312" w:eastAsia="仿宋_GB2312"/>
          <w:sz w:val="32"/>
          <w:szCs w:val="32"/>
        </w:rPr>
        <w:t>间接经济社会效益显现</w:t>
      </w:r>
    </w:p>
    <w:p>
      <w:pPr>
        <w:overflowPunct w:val="0"/>
        <w:spacing w:line="590" w:lineRule="exact"/>
        <w:ind w:firstLine="640" w:firstLineChars="200"/>
        <w:rPr>
          <w:rFonts w:ascii="仿宋_GB2312" w:eastAsia="仿宋_GB2312" w:cs="仿宋"/>
          <w:color w:val="000000"/>
          <w:sz w:val="32"/>
          <w:szCs w:val="32"/>
        </w:rPr>
      </w:pPr>
      <w:r>
        <w:rPr>
          <w:rFonts w:hint="eastAsia" w:eastAsia="仿宋_GB2312"/>
          <w:color w:val="000000"/>
          <w:sz w:val="32"/>
          <w:szCs w:val="32"/>
        </w:rPr>
        <w:t>2019年</w:t>
      </w:r>
      <w:r>
        <w:rPr>
          <w:rFonts w:hint="eastAsia" w:ascii="仿宋_GB2312" w:eastAsia="仿宋_GB2312" w:cs="仿宋"/>
          <w:color w:val="000000"/>
          <w:sz w:val="32"/>
          <w:szCs w:val="32"/>
        </w:rPr>
        <w:t>将继续按照市委主要领导对“遂宁鲜”这一金字招牌做亮、做响、做远的要求推进品牌建设。精准脱贫带动有力。</w:t>
      </w:r>
      <w:r>
        <w:rPr>
          <w:rFonts w:hint="eastAsia" w:eastAsia="仿宋_GB2312"/>
          <w:color w:val="000000"/>
          <w:sz w:val="32"/>
          <w:szCs w:val="32"/>
        </w:rPr>
        <w:t>以524红薯合作</w:t>
      </w:r>
      <w:r>
        <w:rPr>
          <w:rFonts w:hint="eastAsia" w:ascii="仿宋_GB2312" w:eastAsia="仿宋_GB2312" w:cs="仿宋"/>
          <w:color w:val="000000"/>
          <w:sz w:val="32"/>
          <w:szCs w:val="32"/>
        </w:rPr>
        <w:t>社、射洪金柠公司为代表的“遂宁鲜”会员单位积极参与脱贫攻坚工作，带动贫困村产业发展，助农增收效果显著。</w:t>
      </w:r>
      <w:r>
        <w:rPr>
          <w:rFonts w:hint="eastAsia" w:eastAsia="仿宋_GB2312"/>
          <w:color w:val="000000"/>
          <w:sz w:val="32"/>
          <w:szCs w:val="32"/>
        </w:rPr>
        <w:t>524红薯合作社带动18个贫困村种植524红薯，助推户均增收3500元。2019年，50家</w:t>
      </w:r>
      <w:r>
        <w:rPr>
          <w:rFonts w:hint="eastAsia" w:ascii="仿宋_GB2312" w:eastAsia="仿宋_GB2312" w:cs="仿宋"/>
          <w:color w:val="000000"/>
          <w:sz w:val="32"/>
          <w:szCs w:val="32"/>
        </w:rPr>
        <w:t>“遂宁鲜”会员单位成功获准使用“四川扶贫”标识，为精准脱贫贡献“遂宁鲜”力量。“遂宁鲜”产品带动农民致富行为得到了省委书记彭清华、省委常委曲木史哈的高度肯定。</w:t>
      </w:r>
    </w:p>
    <w:p>
      <w:pPr>
        <w:overflowPunct w:val="0"/>
        <w:spacing w:line="590" w:lineRule="exact"/>
        <w:ind w:firstLine="640" w:firstLineChars="200"/>
        <w:rPr>
          <w:rFonts w:ascii="仿宋_GB2312" w:eastAsia="仿宋_GB2312"/>
          <w:sz w:val="32"/>
          <w:szCs w:val="32"/>
        </w:rPr>
      </w:pPr>
      <w:r>
        <w:rPr>
          <w:rFonts w:hint="eastAsia" w:ascii="仿宋_GB2312" w:eastAsia="仿宋_GB2312"/>
          <w:sz w:val="32"/>
          <w:szCs w:val="32"/>
        </w:rPr>
        <w:t>项目建设单位为更好地发挥项目作用，将继续开展推广宣传、一二三产业融合发展项目，推出线上线下互动平台。从长远推动营销点的建设，引领遂宁现代农业发展，为农产品标准化生产、产品提档升级、品牌知名度提升，为助农增收起到极大的推动作用。在北京、成都等大中城市品质消费引领，将为产品质量安全提出更高要求，为生态农业发展寻求更宽的道路，为农业的生态环境起到保护作用。</w:t>
      </w:r>
    </w:p>
    <w:p>
      <w:pPr>
        <w:pStyle w:val="23"/>
        <w:overflowPunct w:val="0"/>
        <w:spacing w:line="590" w:lineRule="exact"/>
        <w:ind w:left="640" w:firstLine="0" w:firstLineChars="0"/>
        <w:rPr>
          <w:rFonts w:ascii="黑体" w:hAnsi="黑体" w:eastAsia="黑体"/>
          <w:sz w:val="32"/>
          <w:szCs w:val="32"/>
        </w:rPr>
      </w:pPr>
      <w:r>
        <w:rPr>
          <w:rFonts w:hint="eastAsia" w:ascii="黑体" w:hAnsi="黑体" w:eastAsia="黑体"/>
          <w:sz w:val="32"/>
          <w:szCs w:val="32"/>
        </w:rPr>
        <w:t>四、问题及建议</w:t>
      </w:r>
    </w:p>
    <w:p>
      <w:pPr>
        <w:overflowPunct w:val="0"/>
        <w:spacing w:line="590" w:lineRule="exact"/>
        <w:ind w:firstLine="640" w:firstLineChars="200"/>
        <w:rPr>
          <w:rFonts w:ascii="楷体_GB2312" w:eastAsia="楷体_GB2312"/>
          <w:sz w:val="32"/>
          <w:szCs w:val="32"/>
        </w:rPr>
      </w:pPr>
      <w:r>
        <w:rPr>
          <w:rFonts w:hint="eastAsia" w:ascii="楷体_GB2312" w:eastAsia="楷体_GB2312"/>
          <w:sz w:val="32"/>
          <w:szCs w:val="32"/>
        </w:rPr>
        <w:t>（一）存在的问题</w:t>
      </w:r>
    </w:p>
    <w:p>
      <w:pPr>
        <w:overflowPunct w:val="0"/>
        <w:spacing w:line="590" w:lineRule="exact"/>
        <w:ind w:firstLine="640" w:firstLineChars="200"/>
        <w:rPr>
          <w:rFonts w:ascii="仿宋_GB2312" w:eastAsia="仿宋_GB2312"/>
          <w:sz w:val="32"/>
          <w:szCs w:val="32"/>
        </w:rPr>
      </w:pPr>
      <w:r>
        <w:rPr>
          <w:rFonts w:hint="eastAsia" w:ascii="仿宋_GB2312" w:eastAsia="仿宋_GB2312"/>
          <w:sz w:val="32"/>
          <w:szCs w:val="32"/>
        </w:rPr>
        <w:t>一是项目建设需夯实基础，练好“遂宁鲜”品牌质量“基本功”。二是构建体系，做好“遂宁鲜”品牌管理“必修课”。三是整合资料，打好“遂宁鲜”品牌营销“组合拳”。</w:t>
      </w:r>
    </w:p>
    <w:p>
      <w:pPr>
        <w:overflowPunct w:val="0"/>
        <w:spacing w:line="590" w:lineRule="exact"/>
        <w:ind w:firstLine="640" w:firstLineChars="200"/>
        <w:rPr>
          <w:rFonts w:ascii="楷体_GB2312" w:eastAsia="楷体_GB2312"/>
          <w:sz w:val="32"/>
          <w:szCs w:val="32"/>
        </w:rPr>
      </w:pPr>
      <w:r>
        <w:rPr>
          <w:rFonts w:hint="eastAsia" w:ascii="楷体_GB2312" w:eastAsia="楷体_GB2312"/>
          <w:sz w:val="32"/>
          <w:szCs w:val="32"/>
        </w:rPr>
        <w:t>（二）相关建议</w:t>
      </w:r>
    </w:p>
    <w:p>
      <w:pPr>
        <w:overflowPunct w:val="0"/>
        <w:spacing w:line="590" w:lineRule="exact"/>
        <w:ind w:firstLine="640" w:firstLineChars="200"/>
        <w:rPr>
          <w:rStyle w:val="24"/>
          <w:rFonts w:ascii="黑体" w:hAnsi="黑体" w:eastAsia="黑体"/>
          <w:b w:val="0"/>
        </w:rPr>
      </w:pPr>
      <w:r>
        <w:rPr>
          <w:rFonts w:hint="eastAsia" w:ascii="仿宋_GB2312" w:eastAsia="仿宋_GB2312"/>
          <w:sz w:val="32"/>
          <w:szCs w:val="32"/>
        </w:rPr>
        <w:t>组建统一专业营销团队开展销售，</w:t>
      </w:r>
      <w:r>
        <w:rPr>
          <w:rFonts w:hint="eastAsia" w:ascii="仿宋_GB2312" w:hAnsi="仿宋" w:eastAsia="仿宋_GB2312" w:cs="仿宋"/>
          <w:color w:val="000000"/>
          <w:sz w:val="32"/>
          <w:szCs w:val="32"/>
        </w:rPr>
        <w:t>建立“遂宁鲜”部分产品标准</w:t>
      </w:r>
      <w:r>
        <w:rPr>
          <w:rFonts w:hint="eastAsia" w:ascii="仿宋_GB2312" w:eastAsia="仿宋_GB2312"/>
          <w:sz w:val="32"/>
          <w:szCs w:val="32"/>
        </w:rPr>
        <w:t>。鼓励企业按照市场要求创新包装，对包装、产品规格及质量标准按照要求营销的企业及组织产品统一包装推广的协会（公司）给予引导性以奖代补奖励政策。</w:t>
      </w:r>
    </w:p>
    <w:p>
      <w:pPr>
        <w:spacing w:line="600" w:lineRule="exact"/>
        <w:jc w:val="center"/>
        <w:outlineLvl w:val="9"/>
        <w:rPr>
          <w:rStyle w:val="24"/>
          <w:rFonts w:ascii="黑体" w:hAnsi="黑体" w:eastAsia="黑体"/>
          <w:b w:val="0"/>
        </w:rPr>
      </w:pPr>
    </w:p>
    <w:p>
      <w:pPr>
        <w:rPr>
          <w:rFonts w:hint="eastAsia" w:ascii="黑体" w:hAnsi="黑体" w:eastAsia="黑体"/>
          <w:color w:val="000000"/>
          <w:sz w:val="44"/>
          <w:szCs w:val="44"/>
        </w:rPr>
      </w:pPr>
      <w:bookmarkStart w:id="75" w:name="_Toc15396618"/>
      <w:r>
        <w:rPr>
          <w:rFonts w:hint="eastAsia" w:ascii="黑体" w:hAnsi="黑体" w:eastAsia="黑体"/>
          <w:color w:val="000000"/>
          <w:sz w:val="44"/>
          <w:szCs w:val="44"/>
        </w:rPr>
        <w:br w:type="page"/>
      </w:r>
    </w:p>
    <w:p>
      <w:pPr>
        <w:spacing w:line="600" w:lineRule="exact"/>
        <w:jc w:val="center"/>
        <w:outlineLvl w:val="0"/>
        <w:rPr>
          <w:rStyle w:val="24"/>
          <w:rFonts w:ascii="黑体" w:hAnsi="黑体" w:eastAsia="黑体"/>
          <w:b w:val="0"/>
        </w:rPr>
      </w:pPr>
      <w:bookmarkStart w:id="76" w:name="_Toc24805"/>
      <w:r>
        <w:rPr>
          <w:rFonts w:hint="eastAsia" w:ascii="黑体" w:hAnsi="黑体" w:eastAsia="黑体"/>
          <w:color w:val="000000"/>
          <w:sz w:val="44"/>
          <w:szCs w:val="44"/>
        </w:rPr>
        <w:t>第</w:t>
      </w:r>
      <w:r>
        <w:rPr>
          <w:rStyle w:val="24"/>
          <w:rFonts w:hint="eastAsia" w:ascii="黑体" w:hAnsi="黑体" w:eastAsia="黑体"/>
          <w:b w:val="0"/>
        </w:rPr>
        <w:t>五部分 附表</w:t>
      </w:r>
      <w:bookmarkEnd w:id="69"/>
      <w:bookmarkEnd w:id="75"/>
      <w:bookmarkEnd w:id="76"/>
    </w:p>
    <w:p>
      <w:pPr>
        <w:spacing w:line="600" w:lineRule="exact"/>
        <w:jc w:val="center"/>
        <w:outlineLvl w:val="9"/>
        <w:rPr>
          <w:rFonts w:ascii="仿宋" w:hAnsi="仿宋" w:eastAsia="仿宋"/>
          <w:b/>
          <w:color w:val="000000"/>
          <w:sz w:val="44"/>
          <w:szCs w:val="44"/>
        </w:rPr>
      </w:pPr>
    </w:p>
    <w:p>
      <w:pPr>
        <w:pStyle w:val="3"/>
        <w:rPr>
          <w:rFonts w:ascii="仿宋" w:hAnsi="仿宋" w:eastAsia="仿宋"/>
          <w:color w:val="000000"/>
        </w:rPr>
      </w:pPr>
      <w:bookmarkStart w:id="77" w:name="_Toc15396619"/>
      <w:bookmarkStart w:id="78" w:name="_Toc24184"/>
      <w:r>
        <w:rPr>
          <w:rFonts w:hint="eastAsia" w:ascii="仿宋" w:hAnsi="仿宋" w:eastAsia="仿宋"/>
          <w:b w:val="0"/>
          <w:color w:val="000000"/>
        </w:rPr>
        <w:t>一、收</w:t>
      </w:r>
      <w:r>
        <w:rPr>
          <w:rStyle w:val="25"/>
          <w:rFonts w:hint="eastAsia" w:ascii="仿宋" w:hAnsi="仿宋" w:eastAsia="仿宋"/>
          <w:b w:val="0"/>
          <w:bCs w:val="0"/>
        </w:rPr>
        <w:t>入支出决算总表</w:t>
      </w:r>
      <w:bookmarkEnd w:id="77"/>
      <w:bookmarkEnd w:id="78"/>
    </w:p>
    <w:p>
      <w:pPr>
        <w:pStyle w:val="3"/>
        <w:rPr>
          <w:rFonts w:ascii="仿宋" w:hAnsi="仿宋" w:eastAsia="仿宋"/>
          <w:color w:val="000000"/>
        </w:rPr>
      </w:pPr>
      <w:bookmarkStart w:id="79" w:name="_Toc11438"/>
      <w:bookmarkStart w:id="80"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79"/>
      <w:bookmarkEnd w:id="80"/>
    </w:p>
    <w:p>
      <w:pPr>
        <w:pStyle w:val="3"/>
        <w:rPr>
          <w:rFonts w:ascii="仿宋" w:hAnsi="仿宋" w:eastAsia="仿宋"/>
          <w:color w:val="000000"/>
        </w:rPr>
      </w:pPr>
      <w:bookmarkStart w:id="81" w:name="_Toc9580"/>
      <w:bookmarkStart w:id="8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81"/>
      <w:bookmarkEnd w:id="82"/>
    </w:p>
    <w:p>
      <w:pPr>
        <w:pStyle w:val="3"/>
        <w:rPr>
          <w:rFonts w:ascii="仿宋" w:hAnsi="仿宋" w:eastAsia="仿宋"/>
          <w:b w:val="0"/>
          <w:color w:val="000000"/>
        </w:rPr>
      </w:pPr>
      <w:bookmarkStart w:id="83" w:name="_Toc10372"/>
      <w:bookmarkStart w:id="84"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83"/>
      <w:bookmarkEnd w:id="84"/>
    </w:p>
    <w:p>
      <w:pPr>
        <w:pStyle w:val="3"/>
        <w:rPr>
          <w:rStyle w:val="25"/>
          <w:rFonts w:ascii="仿宋" w:hAnsi="仿宋" w:eastAsia="仿宋"/>
          <w:b w:val="0"/>
          <w:bCs w:val="0"/>
        </w:rPr>
      </w:pPr>
      <w:bookmarkStart w:id="85" w:name="_Toc20722"/>
      <w:bookmarkStart w:id="8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85"/>
      <w:bookmarkEnd w:id="86"/>
      <w:bookmarkStart w:id="87" w:name="_Toc15396624"/>
    </w:p>
    <w:p>
      <w:pPr>
        <w:pStyle w:val="3"/>
        <w:rPr>
          <w:rFonts w:ascii="仿宋" w:hAnsi="仿宋" w:eastAsia="仿宋"/>
          <w:color w:val="000000"/>
        </w:rPr>
      </w:pPr>
      <w:bookmarkStart w:id="88" w:name="_Toc5489"/>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87"/>
      <w:bookmarkEnd w:id="88"/>
    </w:p>
    <w:p>
      <w:pPr>
        <w:pStyle w:val="3"/>
        <w:rPr>
          <w:rFonts w:ascii="仿宋" w:hAnsi="仿宋" w:eastAsia="仿宋"/>
          <w:color w:val="000000"/>
        </w:rPr>
      </w:pPr>
      <w:bookmarkStart w:id="89" w:name="_Toc15396625"/>
      <w:bookmarkStart w:id="90" w:name="_Toc2196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89"/>
      <w:bookmarkEnd w:id="90"/>
    </w:p>
    <w:p>
      <w:pPr>
        <w:pStyle w:val="3"/>
        <w:rPr>
          <w:rFonts w:ascii="仿宋" w:hAnsi="仿宋" w:eastAsia="仿宋"/>
          <w:color w:val="000000"/>
        </w:rPr>
      </w:pPr>
      <w:bookmarkStart w:id="91" w:name="_Toc21920"/>
      <w:bookmarkStart w:id="92"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91"/>
      <w:bookmarkEnd w:id="92"/>
    </w:p>
    <w:p>
      <w:pPr>
        <w:pStyle w:val="3"/>
        <w:rPr>
          <w:rFonts w:ascii="仿宋" w:hAnsi="仿宋" w:eastAsia="仿宋"/>
          <w:color w:val="000000"/>
        </w:rPr>
      </w:pPr>
      <w:bookmarkStart w:id="93" w:name="_Toc5150"/>
      <w:bookmarkStart w:id="94"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93"/>
      <w:bookmarkEnd w:id="94"/>
    </w:p>
    <w:p>
      <w:pPr>
        <w:pStyle w:val="3"/>
        <w:rPr>
          <w:rFonts w:ascii="仿宋" w:hAnsi="仿宋" w:eastAsia="仿宋"/>
          <w:color w:val="000000"/>
        </w:rPr>
      </w:pPr>
      <w:bookmarkStart w:id="95" w:name="_Toc23730"/>
      <w:bookmarkStart w:id="96"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95"/>
      <w:bookmarkEnd w:id="96"/>
    </w:p>
    <w:p>
      <w:pPr>
        <w:pStyle w:val="3"/>
        <w:rPr>
          <w:rFonts w:ascii="仿宋" w:hAnsi="仿宋" w:eastAsia="仿宋"/>
          <w:color w:val="000000"/>
        </w:rPr>
      </w:pPr>
      <w:bookmarkStart w:id="97" w:name="_Toc32001"/>
      <w:bookmarkStart w:id="98"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97"/>
      <w:bookmarkEnd w:id="98"/>
    </w:p>
    <w:p>
      <w:pPr>
        <w:pStyle w:val="3"/>
        <w:rPr>
          <w:rFonts w:ascii="仿宋" w:hAnsi="仿宋" w:eastAsia="仿宋"/>
          <w:color w:val="000000"/>
        </w:rPr>
      </w:pPr>
      <w:bookmarkStart w:id="99" w:name="_Toc15396630"/>
      <w:bookmarkStart w:id="100" w:name="_Toc2339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99"/>
      <w:bookmarkEnd w:id="100"/>
    </w:p>
    <w:p>
      <w:pPr>
        <w:pStyle w:val="3"/>
        <w:rPr>
          <w:rFonts w:ascii="仿宋" w:hAnsi="仿宋" w:eastAsia="仿宋"/>
          <w:color w:val="000000" w:themeColor="text1"/>
          <w14:textFill>
            <w14:solidFill>
              <w14:schemeClr w14:val="tx1"/>
            </w14:solidFill>
          </w14:textFill>
        </w:rPr>
      </w:pPr>
      <w:bookmarkStart w:id="101" w:name="_Toc14873"/>
      <w:bookmarkStart w:id="10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101"/>
      <w:bookmarkEnd w:id="10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TimesNewRoman">
    <w:altName w:val="DejaVu Sans"/>
    <w:panose1 w:val="00000000000000000000"/>
    <w:charset w:val="00"/>
    <w:family w:val="roman"/>
    <w:pitch w:val="default"/>
    <w:sig w:usb0="00000000" w:usb1="00000000" w:usb2="00000000" w:usb3="00000000" w:csb0="00000001" w:csb1="00000000"/>
  </w:font>
  <w:font w:name="Times New Roman,Bold">
    <w:altName w:val="Nimbus Roman No9 L"/>
    <w:panose1 w:val="00000000000000000000"/>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FF2EC"/>
    <w:multiLevelType w:val="singleLevel"/>
    <w:tmpl w:val="B90FF2EC"/>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MzliNTM1NTNmNTUyNGZhODZjNjkxOWVhNTM1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83175"/>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153EA4"/>
    <w:rsid w:val="092A10DF"/>
    <w:rsid w:val="0B970FD6"/>
    <w:rsid w:val="10C055FF"/>
    <w:rsid w:val="11F115A9"/>
    <w:rsid w:val="12316636"/>
    <w:rsid w:val="13BA06B5"/>
    <w:rsid w:val="13C54077"/>
    <w:rsid w:val="16BB723D"/>
    <w:rsid w:val="17F07CED"/>
    <w:rsid w:val="1B0C090E"/>
    <w:rsid w:val="1CA00433"/>
    <w:rsid w:val="23A56B59"/>
    <w:rsid w:val="240371BF"/>
    <w:rsid w:val="26CF049F"/>
    <w:rsid w:val="29FD04D3"/>
    <w:rsid w:val="319F7F4E"/>
    <w:rsid w:val="33090035"/>
    <w:rsid w:val="3A690D09"/>
    <w:rsid w:val="3F6915BD"/>
    <w:rsid w:val="409E2664"/>
    <w:rsid w:val="428B3C5E"/>
    <w:rsid w:val="465A16D5"/>
    <w:rsid w:val="468C4EB1"/>
    <w:rsid w:val="489F76E6"/>
    <w:rsid w:val="49973481"/>
    <w:rsid w:val="4AC44764"/>
    <w:rsid w:val="4BC91D3C"/>
    <w:rsid w:val="4ECE2238"/>
    <w:rsid w:val="53F57A86"/>
    <w:rsid w:val="55D005D5"/>
    <w:rsid w:val="5A4A51C1"/>
    <w:rsid w:val="5A857E81"/>
    <w:rsid w:val="5AF63A79"/>
    <w:rsid w:val="5BA610CA"/>
    <w:rsid w:val="5CFF1E7A"/>
    <w:rsid w:val="5FF85229"/>
    <w:rsid w:val="61C04308"/>
    <w:rsid w:val="6BF2071D"/>
    <w:rsid w:val="6FD57509"/>
    <w:rsid w:val="70B71140"/>
    <w:rsid w:val="721046D0"/>
    <w:rsid w:val="72734D90"/>
    <w:rsid w:val="76DF39CB"/>
    <w:rsid w:val="77DA7B90"/>
    <w:rsid w:val="78AD373D"/>
    <w:rsid w:val="7B7E584B"/>
    <w:rsid w:val="7D4D5AE3"/>
    <w:rsid w:val="BFDFF7B7"/>
    <w:rsid w:val="EDFFBB05"/>
    <w:rsid w:val="EEF553D9"/>
    <w:rsid w:val="FE5F5964"/>
    <w:rsid w:val="FE7096B6"/>
    <w:rsid w:val="FF391A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Heading 1 Char"/>
    <w:qFormat/>
    <w:locked/>
    <w:uiPriority w:val="99"/>
    <w:rPr>
      <w:rFonts w:ascii="Times New Roman" w:hAnsi="Times New Roman" w:cs="Times New Roman"/>
      <w:b/>
      <w:bCs/>
      <w:kern w:val="44"/>
      <w:sz w:val="44"/>
      <w:szCs w:val="44"/>
    </w:rPr>
  </w:style>
  <w:style w:type="paragraph" w:customStyle="1" w:styleId="31">
    <w:name w:val="WPSOffice手动目录 1"/>
    <w:qFormat/>
    <w:uiPriority w:val="0"/>
    <w:pPr>
      <w:ind w:leftChars="0"/>
    </w:pPr>
    <w:rPr>
      <w:rFonts w:ascii="Calibri" w:hAnsi="Calibri" w:eastAsia="宋体" w:cs="Times New Roman"/>
      <w:sz w:val="20"/>
      <w:szCs w:val="20"/>
    </w:rPr>
  </w:style>
  <w:style w:type="paragraph" w:customStyle="1" w:styleId="32">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50</Pages>
  <Words>7622</Words>
  <Characters>931</Characters>
  <Lines>7</Lines>
  <Paragraphs>17</Paragraphs>
  <TotalTime>17</TotalTime>
  <ScaleCrop>false</ScaleCrop>
  <LinksUpToDate>false</LinksUpToDate>
  <CharactersWithSpaces>8536</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2020-07-24T10:58:00Z</cp:lastPrinted>
  <dcterms:modified xsi:type="dcterms:W3CDTF">2025-06-26T17:21:05Z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B3440A5EA3DF0C43AE01AB67C960D2E8_43</vt:lpwstr>
  </property>
</Properties>
</file>