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黑体"/>
          <w:color w:val="000000"/>
        </w:rPr>
      </w:pPr>
      <w:r>
        <w:rPr>
          <w:rFonts w:hint="eastAsia" w:eastAsia="黑体"/>
          <w:color w:val="000000"/>
        </w:rPr>
        <w:t>附件2</w:t>
      </w:r>
    </w:p>
    <w:p>
      <w:pPr>
        <w:spacing w:after="100" w:afterAutospacing="1" w:line="70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/>
          <w:sz w:val="44"/>
          <w:szCs w:val="44"/>
        </w:rPr>
        <w:t>202</w:t>
      </w:r>
      <w:r>
        <w:rPr>
          <w:rFonts w:hint="eastAsia" w:ascii="方正小标宋_GBK" w:eastAsia="方正小标宋_GBK"/>
          <w:sz w:val="44"/>
          <w:szCs w:val="44"/>
        </w:rPr>
        <w:t>4</w:t>
      </w:r>
      <w:r>
        <w:rPr>
          <w:rFonts w:ascii="方正小标宋_GBK" w:eastAsia="方正小标宋_GBK"/>
          <w:sz w:val="44"/>
          <w:szCs w:val="44"/>
        </w:rPr>
        <w:t>年市级</w:t>
      </w:r>
      <w:r>
        <w:rPr>
          <w:rFonts w:hint="eastAsia" w:ascii="方正小标宋_GBK" w:eastAsia="方正小标宋_GBK"/>
          <w:sz w:val="44"/>
          <w:szCs w:val="44"/>
        </w:rPr>
        <w:t>财政衔接推进乡村振兴补助资金绩效目标表</w:t>
      </w:r>
      <w:bookmarkStart w:id="0" w:name="_GoBack"/>
      <w:bookmarkEnd w:id="0"/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0"/>
        <w:gridCol w:w="8769"/>
        <w:gridCol w:w="1950"/>
        <w:gridCol w:w="16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1765" w:type="dxa"/>
            <w:vAlign w:val="center"/>
          </w:tcPr>
          <w:p>
            <w:pPr>
              <w:pStyle w:val="8"/>
              <w:autoSpaceDE/>
              <w:autoSpaceDN/>
              <w:spacing w:line="250" w:lineRule="exact"/>
              <w:jc w:val="center"/>
              <w:rPr>
                <w:rFonts w:cs="仿宋_GB2312" w:asciiTheme="minorEastAsia" w:hAnsiTheme="minorEastAsia" w:eastAsiaTheme="minorEastAsia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auto"/>
                <w:kern w:val="2"/>
                <w:sz w:val="21"/>
                <w:szCs w:val="21"/>
              </w:rPr>
              <w:t>各县（市、区）、市直园区及单位</w:t>
            </w:r>
          </w:p>
        </w:tc>
        <w:tc>
          <w:tcPr>
            <w:tcW w:w="8814" w:type="dxa"/>
            <w:vAlign w:val="center"/>
          </w:tcPr>
          <w:p>
            <w:pPr>
              <w:pStyle w:val="8"/>
              <w:autoSpaceDE/>
              <w:autoSpaceDN/>
              <w:spacing w:line="250" w:lineRule="exact"/>
              <w:jc w:val="center"/>
              <w:rPr>
                <w:rFonts w:cs="仿宋_GB2312" w:asciiTheme="minorEastAsia" w:hAnsiTheme="minorEastAsia" w:eastAsiaTheme="minorEastAsia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auto"/>
                <w:kern w:val="2"/>
                <w:sz w:val="21"/>
                <w:szCs w:val="21"/>
              </w:rPr>
              <w:t>产出指标</w:t>
            </w:r>
          </w:p>
        </w:tc>
        <w:tc>
          <w:tcPr>
            <w:tcW w:w="1958" w:type="dxa"/>
            <w:vAlign w:val="center"/>
          </w:tcPr>
          <w:p>
            <w:pPr>
              <w:pStyle w:val="8"/>
              <w:autoSpaceDE/>
              <w:autoSpaceDN/>
              <w:spacing w:line="250" w:lineRule="exact"/>
              <w:jc w:val="center"/>
              <w:rPr>
                <w:rFonts w:cs="仿宋_GB2312" w:asciiTheme="minorEastAsia" w:hAnsiTheme="minorEastAsia" w:eastAsiaTheme="minorEastAsia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auto"/>
                <w:kern w:val="2"/>
                <w:sz w:val="21"/>
                <w:szCs w:val="21"/>
              </w:rPr>
              <w:t>效益指标</w:t>
            </w:r>
          </w:p>
        </w:tc>
        <w:tc>
          <w:tcPr>
            <w:tcW w:w="1701" w:type="dxa"/>
            <w:vAlign w:val="center"/>
          </w:tcPr>
          <w:p>
            <w:pPr>
              <w:pStyle w:val="8"/>
              <w:autoSpaceDE/>
              <w:autoSpaceDN/>
              <w:spacing w:line="250" w:lineRule="exact"/>
              <w:jc w:val="center"/>
              <w:rPr>
                <w:rFonts w:cs="仿宋_GB2312" w:asciiTheme="minorEastAsia" w:hAnsiTheme="minorEastAsia" w:eastAsiaTheme="minorEastAsia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auto"/>
                <w:kern w:val="2"/>
                <w:sz w:val="21"/>
                <w:szCs w:val="21"/>
              </w:rPr>
              <w:t>满意度指标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765" w:type="dxa"/>
            <w:vAlign w:val="center"/>
          </w:tcPr>
          <w:p>
            <w:pPr>
              <w:pStyle w:val="8"/>
              <w:autoSpaceDE/>
              <w:autoSpaceDN/>
              <w:spacing w:line="250" w:lineRule="exact"/>
              <w:jc w:val="center"/>
              <w:rPr>
                <w:rFonts w:cs="仿宋_GB2312" w:asciiTheme="minorEastAsia" w:hAnsiTheme="minorEastAsia" w:eastAsiaTheme="minorEastAsia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auto"/>
                <w:kern w:val="2"/>
                <w:sz w:val="21"/>
                <w:szCs w:val="21"/>
              </w:rPr>
              <w:t>船山区</w:t>
            </w:r>
          </w:p>
        </w:tc>
        <w:tc>
          <w:tcPr>
            <w:tcW w:w="8814" w:type="dxa"/>
            <w:vAlign w:val="center"/>
          </w:tcPr>
          <w:p>
            <w:pPr>
              <w:pStyle w:val="8"/>
              <w:autoSpaceDE/>
              <w:autoSpaceDN/>
              <w:spacing w:line="250" w:lineRule="exact"/>
              <w:jc w:val="left"/>
              <w:rPr>
                <w:rFonts w:cs="仿宋_GB2312" w:asciiTheme="minorEastAsia" w:hAnsiTheme="minorEastAsia" w:eastAsiaTheme="minorEastAsia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auto"/>
                <w:kern w:val="2"/>
                <w:sz w:val="21"/>
                <w:szCs w:val="21"/>
              </w:rPr>
              <w:t>2024年12月底前完成2021年3-12月、2022年1-12月、2023年1-12月养殖环节病死猪无害化处理配套资金兑付；提灌站新建9座、改造26座。</w:t>
            </w:r>
          </w:p>
        </w:tc>
        <w:tc>
          <w:tcPr>
            <w:tcW w:w="1958" w:type="dxa"/>
            <w:vAlign w:val="center"/>
          </w:tcPr>
          <w:p>
            <w:pPr>
              <w:pStyle w:val="8"/>
              <w:autoSpaceDE/>
              <w:autoSpaceDN/>
              <w:spacing w:line="250" w:lineRule="exact"/>
              <w:jc w:val="center"/>
              <w:rPr>
                <w:rFonts w:cs="仿宋_GB2312" w:asciiTheme="minorEastAsia" w:hAnsiTheme="minorEastAsia" w:eastAsiaTheme="minorEastAsia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auto"/>
                <w:kern w:val="2"/>
                <w:sz w:val="21"/>
                <w:szCs w:val="21"/>
              </w:rPr>
              <w:t>资金使用无重大违规违纪问题；</w:t>
            </w:r>
          </w:p>
        </w:tc>
        <w:tc>
          <w:tcPr>
            <w:tcW w:w="1701" w:type="dxa"/>
            <w:vAlign w:val="center"/>
          </w:tcPr>
          <w:p>
            <w:pPr>
              <w:pStyle w:val="8"/>
              <w:autoSpaceDE/>
              <w:autoSpaceDN/>
              <w:spacing w:line="250" w:lineRule="exact"/>
              <w:jc w:val="center"/>
              <w:rPr>
                <w:rFonts w:cs="仿宋_GB2312" w:asciiTheme="minorEastAsia" w:hAnsiTheme="minorEastAsia" w:eastAsiaTheme="minorEastAsia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auto"/>
                <w:kern w:val="2"/>
                <w:sz w:val="21"/>
                <w:szCs w:val="21"/>
              </w:rPr>
              <w:t>受益群众满意度90%以上。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765" w:type="dxa"/>
            <w:vAlign w:val="center"/>
          </w:tcPr>
          <w:p>
            <w:pPr>
              <w:pStyle w:val="8"/>
              <w:autoSpaceDE/>
              <w:autoSpaceDN/>
              <w:spacing w:line="250" w:lineRule="exact"/>
              <w:jc w:val="center"/>
              <w:rPr>
                <w:rFonts w:cs="仿宋_GB2312" w:asciiTheme="minorEastAsia" w:hAnsiTheme="minorEastAsia" w:eastAsiaTheme="minorEastAsia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auto"/>
                <w:kern w:val="2"/>
                <w:sz w:val="21"/>
                <w:szCs w:val="21"/>
              </w:rPr>
              <w:t>安居区</w:t>
            </w:r>
          </w:p>
        </w:tc>
        <w:tc>
          <w:tcPr>
            <w:tcW w:w="8814" w:type="dxa"/>
            <w:vAlign w:val="center"/>
          </w:tcPr>
          <w:p>
            <w:pPr>
              <w:pStyle w:val="8"/>
              <w:autoSpaceDE/>
              <w:autoSpaceDN/>
              <w:spacing w:line="250" w:lineRule="exact"/>
              <w:jc w:val="left"/>
              <w:rPr>
                <w:rFonts w:cs="仿宋_GB2312" w:asciiTheme="minorEastAsia" w:hAnsiTheme="minorEastAsia" w:eastAsiaTheme="minorEastAsia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auto"/>
                <w:kern w:val="2"/>
                <w:sz w:val="21"/>
                <w:szCs w:val="21"/>
              </w:rPr>
              <w:t>2024年12月底前完成2021年3-12月、2022年1-12月、2023年1-12月养殖环节病死猪无害化处理配套资金兑付；提灌站新建15座、改造15座。</w:t>
            </w:r>
          </w:p>
        </w:tc>
        <w:tc>
          <w:tcPr>
            <w:tcW w:w="1958" w:type="dxa"/>
            <w:vAlign w:val="center"/>
          </w:tcPr>
          <w:p>
            <w:pPr>
              <w:pStyle w:val="8"/>
              <w:autoSpaceDE/>
              <w:autoSpaceDN/>
              <w:spacing w:line="250" w:lineRule="exact"/>
              <w:jc w:val="center"/>
              <w:rPr>
                <w:rFonts w:cs="仿宋_GB2312" w:asciiTheme="minorEastAsia" w:hAnsiTheme="minorEastAsia" w:eastAsiaTheme="minorEastAsia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auto"/>
                <w:kern w:val="2"/>
                <w:sz w:val="21"/>
                <w:szCs w:val="21"/>
              </w:rPr>
              <w:t>资金使用无重大违规违纪问题；</w:t>
            </w:r>
          </w:p>
        </w:tc>
        <w:tc>
          <w:tcPr>
            <w:tcW w:w="1701" w:type="dxa"/>
            <w:vAlign w:val="center"/>
          </w:tcPr>
          <w:p>
            <w:pPr>
              <w:pStyle w:val="8"/>
              <w:autoSpaceDE/>
              <w:autoSpaceDN/>
              <w:spacing w:line="250" w:lineRule="exact"/>
              <w:jc w:val="center"/>
              <w:rPr>
                <w:rFonts w:cs="仿宋_GB2312" w:asciiTheme="minorEastAsia" w:hAnsiTheme="minorEastAsia" w:eastAsiaTheme="minorEastAsia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auto"/>
                <w:kern w:val="2"/>
                <w:sz w:val="21"/>
                <w:szCs w:val="21"/>
              </w:rPr>
              <w:t>受益群众满意度90%以上。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765" w:type="dxa"/>
            <w:vAlign w:val="center"/>
          </w:tcPr>
          <w:p>
            <w:pPr>
              <w:pStyle w:val="8"/>
              <w:autoSpaceDE/>
              <w:autoSpaceDN/>
              <w:spacing w:line="250" w:lineRule="exact"/>
              <w:jc w:val="center"/>
              <w:rPr>
                <w:rFonts w:cs="仿宋_GB2312" w:asciiTheme="minorEastAsia" w:hAnsiTheme="minorEastAsia" w:eastAsiaTheme="minorEastAsia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auto"/>
                <w:kern w:val="2"/>
                <w:sz w:val="21"/>
                <w:szCs w:val="21"/>
              </w:rPr>
              <w:t>遂宁经开区</w:t>
            </w:r>
          </w:p>
        </w:tc>
        <w:tc>
          <w:tcPr>
            <w:tcW w:w="8814" w:type="dxa"/>
            <w:vAlign w:val="center"/>
          </w:tcPr>
          <w:p>
            <w:pPr>
              <w:pStyle w:val="8"/>
              <w:autoSpaceDE/>
              <w:autoSpaceDN/>
              <w:spacing w:line="250" w:lineRule="exact"/>
              <w:jc w:val="left"/>
              <w:rPr>
                <w:rFonts w:cs="仿宋_GB2312" w:asciiTheme="minorEastAsia" w:hAnsiTheme="minorEastAsia" w:eastAsiaTheme="minorEastAsia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auto"/>
                <w:kern w:val="2"/>
                <w:sz w:val="21"/>
                <w:szCs w:val="21"/>
              </w:rPr>
              <w:t>2024年12月底前完成2021年3-12月、2022年1-12月、2023年1-12月养殖环节病死猪无害化处理配套资金兑付；提灌站改造8座。</w:t>
            </w:r>
          </w:p>
        </w:tc>
        <w:tc>
          <w:tcPr>
            <w:tcW w:w="1958" w:type="dxa"/>
            <w:vAlign w:val="center"/>
          </w:tcPr>
          <w:p>
            <w:pPr>
              <w:pStyle w:val="8"/>
              <w:autoSpaceDE/>
              <w:autoSpaceDN/>
              <w:spacing w:line="250" w:lineRule="exact"/>
              <w:jc w:val="center"/>
              <w:rPr>
                <w:rFonts w:cs="仿宋_GB2312" w:asciiTheme="minorEastAsia" w:hAnsiTheme="minorEastAsia" w:eastAsiaTheme="minorEastAsia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auto"/>
                <w:kern w:val="2"/>
                <w:sz w:val="21"/>
                <w:szCs w:val="21"/>
              </w:rPr>
              <w:t>资金使用无重大违规违纪问题；</w:t>
            </w:r>
          </w:p>
        </w:tc>
        <w:tc>
          <w:tcPr>
            <w:tcW w:w="1701" w:type="dxa"/>
            <w:vAlign w:val="center"/>
          </w:tcPr>
          <w:p>
            <w:pPr>
              <w:pStyle w:val="8"/>
              <w:autoSpaceDE/>
              <w:autoSpaceDN/>
              <w:spacing w:line="250" w:lineRule="exact"/>
              <w:jc w:val="center"/>
              <w:rPr>
                <w:rFonts w:cs="仿宋_GB2312" w:asciiTheme="minorEastAsia" w:hAnsiTheme="minorEastAsia" w:eastAsiaTheme="minorEastAsia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auto"/>
                <w:kern w:val="2"/>
                <w:sz w:val="21"/>
                <w:szCs w:val="21"/>
              </w:rPr>
              <w:t>受益群众满意度90%以上。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765" w:type="dxa"/>
            <w:vAlign w:val="center"/>
          </w:tcPr>
          <w:p>
            <w:pPr>
              <w:pStyle w:val="8"/>
              <w:autoSpaceDE/>
              <w:autoSpaceDN/>
              <w:spacing w:line="250" w:lineRule="exact"/>
              <w:jc w:val="center"/>
              <w:rPr>
                <w:rFonts w:cs="仿宋_GB2312" w:asciiTheme="minorEastAsia" w:hAnsiTheme="minorEastAsia" w:eastAsiaTheme="minorEastAsia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auto"/>
                <w:kern w:val="2"/>
                <w:sz w:val="21"/>
                <w:szCs w:val="21"/>
              </w:rPr>
              <w:t>市河东新区</w:t>
            </w:r>
          </w:p>
        </w:tc>
        <w:tc>
          <w:tcPr>
            <w:tcW w:w="8814" w:type="dxa"/>
            <w:vAlign w:val="center"/>
          </w:tcPr>
          <w:p>
            <w:pPr>
              <w:pStyle w:val="8"/>
              <w:autoSpaceDE/>
              <w:autoSpaceDN/>
              <w:spacing w:line="250" w:lineRule="exact"/>
              <w:jc w:val="left"/>
              <w:rPr>
                <w:rFonts w:cs="仿宋_GB2312" w:asciiTheme="minorEastAsia" w:hAnsiTheme="minorEastAsia" w:eastAsiaTheme="minorEastAsia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auto"/>
                <w:kern w:val="2"/>
                <w:sz w:val="21"/>
                <w:szCs w:val="21"/>
              </w:rPr>
              <w:t>2024年12月底前完成2021年3-12月、2022年1-12月、2023年1-12月养殖环节病死猪无害化处理配套资金兑付；提灌站新建6座、改造9座。</w:t>
            </w:r>
          </w:p>
        </w:tc>
        <w:tc>
          <w:tcPr>
            <w:tcW w:w="1958" w:type="dxa"/>
            <w:vAlign w:val="center"/>
          </w:tcPr>
          <w:p>
            <w:pPr>
              <w:pStyle w:val="8"/>
              <w:autoSpaceDE/>
              <w:autoSpaceDN/>
              <w:spacing w:line="250" w:lineRule="exact"/>
              <w:jc w:val="center"/>
              <w:rPr>
                <w:rFonts w:cs="仿宋_GB2312" w:asciiTheme="minorEastAsia" w:hAnsiTheme="minorEastAsia" w:eastAsiaTheme="minorEastAsia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auto"/>
                <w:kern w:val="2"/>
                <w:sz w:val="21"/>
                <w:szCs w:val="21"/>
              </w:rPr>
              <w:t>资金使用无重大违规违纪问题；</w:t>
            </w:r>
          </w:p>
        </w:tc>
        <w:tc>
          <w:tcPr>
            <w:tcW w:w="1701" w:type="dxa"/>
            <w:vAlign w:val="center"/>
          </w:tcPr>
          <w:p>
            <w:pPr>
              <w:pStyle w:val="8"/>
              <w:autoSpaceDE/>
              <w:autoSpaceDN/>
              <w:spacing w:line="250" w:lineRule="exact"/>
              <w:jc w:val="center"/>
              <w:rPr>
                <w:rFonts w:cs="仿宋_GB2312" w:asciiTheme="minorEastAsia" w:hAnsiTheme="minorEastAsia" w:eastAsiaTheme="minorEastAsia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auto"/>
                <w:kern w:val="2"/>
                <w:sz w:val="21"/>
                <w:szCs w:val="21"/>
              </w:rPr>
              <w:t>受益群众满意度90%以上。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765" w:type="dxa"/>
            <w:vAlign w:val="center"/>
          </w:tcPr>
          <w:p>
            <w:pPr>
              <w:pStyle w:val="8"/>
              <w:autoSpaceDE/>
              <w:autoSpaceDN/>
              <w:spacing w:line="250" w:lineRule="exact"/>
              <w:jc w:val="center"/>
              <w:rPr>
                <w:rFonts w:cs="仿宋_GB2312" w:asciiTheme="minorEastAsia" w:hAnsiTheme="minorEastAsia" w:eastAsiaTheme="minorEastAsia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auto"/>
                <w:kern w:val="2"/>
                <w:sz w:val="21"/>
                <w:szCs w:val="21"/>
              </w:rPr>
              <w:t>遂宁高新区</w:t>
            </w:r>
          </w:p>
        </w:tc>
        <w:tc>
          <w:tcPr>
            <w:tcW w:w="8814" w:type="dxa"/>
            <w:vAlign w:val="center"/>
          </w:tcPr>
          <w:p>
            <w:pPr>
              <w:pStyle w:val="8"/>
              <w:autoSpaceDE/>
              <w:autoSpaceDN/>
              <w:spacing w:line="250" w:lineRule="exact"/>
              <w:jc w:val="left"/>
              <w:rPr>
                <w:rFonts w:cs="仿宋_GB2312" w:asciiTheme="minorEastAsia" w:hAnsiTheme="minorEastAsia" w:eastAsiaTheme="minorEastAsia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auto"/>
                <w:kern w:val="2"/>
                <w:sz w:val="21"/>
                <w:szCs w:val="21"/>
              </w:rPr>
              <w:t>2024年12月底前完成2021年3-12月、2022年1-12月、2023年1-12月养殖环节病死猪无害化处理配套资金兑付；提灌站新建5座。</w:t>
            </w:r>
          </w:p>
        </w:tc>
        <w:tc>
          <w:tcPr>
            <w:tcW w:w="1958" w:type="dxa"/>
            <w:vAlign w:val="center"/>
          </w:tcPr>
          <w:p>
            <w:pPr>
              <w:pStyle w:val="8"/>
              <w:autoSpaceDE/>
              <w:autoSpaceDN/>
              <w:spacing w:line="250" w:lineRule="exact"/>
              <w:jc w:val="center"/>
              <w:rPr>
                <w:rFonts w:cs="仿宋_GB2312" w:asciiTheme="minorEastAsia" w:hAnsiTheme="minorEastAsia" w:eastAsiaTheme="minorEastAsia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auto"/>
                <w:kern w:val="2"/>
                <w:sz w:val="21"/>
                <w:szCs w:val="21"/>
              </w:rPr>
              <w:t>资金使用无重大违规违纪问题；</w:t>
            </w:r>
          </w:p>
        </w:tc>
        <w:tc>
          <w:tcPr>
            <w:tcW w:w="1701" w:type="dxa"/>
            <w:vAlign w:val="center"/>
          </w:tcPr>
          <w:p>
            <w:pPr>
              <w:pStyle w:val="8"/>
              <w:autoSpaceDE/>
              <w:autoSpaceDN/>
              <w:spacing w:line="250" w:lineRule="exact"/>
              <w:jc w:val="center"/>
              <w:rPr>
                <w:rFonts w:cs="仿宋_GB2312" w:asciiTheme="minorEastAsia" w:hAnsiTheme="minorEastAsia" w:eastAsiaTheme="minorEastAsia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auto"/>
                <w:kern w:val="2"/>
                <w:sz w:val="21"/>
                <w:szCs w:val="21"/>
              </w:rPr>
              <w:t>受益群众满意度90%以上。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765" w:type="dxa"/>
            <w:vAlign w:val="center"/>
          </w:tcPr>
          <w:p>
            <w:pPr>
              <w:pStyle w:val="8"/>
              <w:autoSpaceDE/>
              <w:autoSpaceDN/>
              <w:spacing w:line="250" w:lineRule="exact"/>
              <w:jc w:val="center"/>
              <w:rPr>
                <w:rFonts w:cs="仿宋_GB2312" w:asciiTheme="minorEastAsia" w:hAnsiTheme="minorEastAsia" w:eastAsiaTheme="minorEastAsia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auto"/>
                <w:kern w:val="2"/>
                <w:sz w:val="21"/>
                <w:szCs w:val="21"/>
              </w:rPr>
              <w:t>射洪市</w:t>
            </w:r>
          </w:p>
        </w:tc>
        <w:tc>
          <w:tcPr>
            <w:tcW w:w="8814" w:type="dxa"/>
            <w:vAlign w:val="center"/>
          </w:tcPr>
          <w:p>
            <w:pPr>
              <w:pStyle w:val="8"/>
              <w:autoSpaceDE/>
              <w:autoSpaceDN/>
              <w:spacing w:line="250" w:lineRule="exact"/>
              <w:jc w:val="left"/>
              <w:rPr>
                <w:rFonts w:cs="仿宋_GB2312" w:asciiTheme="minorEastAsia" w:hAnsiTheme="minorEastAsia" w:eastAsiaTheme="minorEastAsia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auto"/>
                <w:kern w:val="2"/>
                <w:sz w:val="21"/>
                <w:szCs w:val="21"/>
              </w:rPr>
              <w:t>2024年12月底前完成提灌站新建2座、改造75座。</w:t>
            </w:r>
          </w:p>
        </w:tc>
        <w:tc>
          <w:tcPr>
            <w:tcW w:w="1958" w:type="dxa"/>
            <w:vAlign w:val="center"/>
          </w:tcPr>
          <w:p>
            <w:pPr>
              <w:pStyle w:val="8"/>
              <w:autoSpaceDE/>
              <w:autoSpaceDN/>
              <w:spacing w:line="250" w:lineRule="exact"/>
              <w:jc w:val="center"/>
              <w:rPr>
                <w:rFonts w:cs="仿宋_GB2312" w:asciiTheme="minorEastAsia" w:hAnsiTheme="minorEastAsia" w:eastAsiaTheme="minorEastAsia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auto"/>
                <w:kern w:val="2"/>
                <w:sz w:val="21"/>
                <w:szCs w:val="21"/>
              </w:rPr>
              <w:t>资金使用无重大违规违纪问题；</w:t>
            </w:r>
          </w:p>
        </w:tc>
        <w:tc>
          <w:tcPr>
            <w:tcW w:w="1701" w:type="dxa"/>
            <w:vAlign w:val="center"/>
          </w:tcPr>
          <w:p>
            <w:pPr>
              <w:pStyle w:val="8"/>
              <w:autoSpaceDE/>
              <w:autoSpaceDN/>
              <w:spacing w:line="250" w:lineRule="exact"/>
              <w:jc w:val="center"/>
              <w:rPr>
                <w:rFonts w:cs="仿宋_GB2312" w:asciiTheme="minorEastAsia" w:hAnsiTheme="minorEastAsia" w:eastAsiaTheme="minorEastAsia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auto"/>
                <w:kern w:val="2"/>
                <w:sz w:val="21"/>
                <w:szCs w:val="21"/>
              </w:rPr>
              <w:t>受益群众满意度90%以上。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1765" w:type="dxa"/>
            <w:vAlign w:val="center"/>
          </w:tcPr>
          <w:p>
            <w:pPr>
              <w:pStyle w:val="8"/>
              <w:autoSpaceDE/>
              <w:autoSpaceDN/>
              <w:spacing w:line="250" w:lineRule="exact"/>
              <w:jc w:val="center"/>
              <w:rPr>
                <w:rFonts w:cs="仿宋_GB2312" w:asciiTheme="minorEastAsia" w:hAnsiTheme="minorEastAsia" w:eastAsiaTheme="minorEastAsia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auto"/>
                <w:kern w:val="2"/>
                <w:sz w:val="21"/>
                <w:szCs w:val="21"/>
              </w:rPr>
              <w:t>蓬溪县</w:t>
            </w:r>
          </w:p>
        </w:tc>
        <w:tc>
          <w:tcPr>
            <w:tcW w:w="8814" w:type="dxa"/>
            <w:vAlign w:val="center"/>
          </w:tcPr>
          <w:p>
            <w:pPr>
              <w:pStyle w:val="8"/>
              <w:autoSpaceDE/>
              <w:autoSpaceDN/>
              <w:spacing w:line="250" w:lineRule="exact"/>
              <w:jc w:val="left"/>
              <w:rPr>
                <w:rFonts w:cs="仿宋_GB2312" w:asciiTheme="minorEastAsia" w:hAnsiTheme="minorEastAsia" w:eastAsiaTheme="minorEastAsia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auto"/>
                <w:kern w:val="2"/>
                <w:sz w:val="21"/>
                <w:szCs w:val="21"/>
              </w:rPr>
              <w:t>2024年12月底前完成提灌站新建5座、改造63座。</w:t>
            </w:r>
          </w:p>
        </w:tc>
        <w:tc>
          <w:tcPr>
            <w:tcW w:w="1958" w:type="dxa"/>
            <w:vAlign w:val="center"/>
          </w:tcPr>
          <w:p>
            <w:pPr>
              <w:pStyle w:val="8"/>
              <w:autoSpaceDE/>
              <w:autoSpaceDN/>
              <w:spacing w:line="250" w:lineRule="exact"/>
              <w:jc w:val="center"/>
              <w:rPr>
                <w:rFonts w:cs="仿宋_GB2312" w:asciiTheme="minorEastAsia" w:hAnsiTheme="minorEastAsia" w:eastAsiaTheme="minorEastAsia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auto"/>
                <w:kern w:val="2"/>
                <w:sz w:val="21"/>
                <w:szCs w:val="21"/>
              </w:rPr>
              <w:t>资金使用无重大违规违纪问题；</w:t>
            </w:r>
          </w:p>
        </w:tc>
        <w:tc>
          <w:tcPr>
            <w:tcW w:w="1701" w:type="dxa"/>
            <w:vAlign w:val="center"/>
          </w:tcPr>
          <w:p>
            <w:pPr>
              <w:pStyle w:val="8"/>
              <w:autoSpaceDE/>
              <w:autoSpaceDN/>
              <w:spacing w:line="250" w:lineRule="exact"/>
              <w:jc w:val="center"/>
              <w:rPr>
                <w:rFonts w:cs="仿宋_GB2312" w:asciiTheme="minorEastAsia" w:hAnsiTheme="minorEastAsia" w:eastAsiaTheme="minorEastAsia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auto"/>
                <w:kern w:val="2"/>
                <w:sz w:val="21"/>
                <w:szCs w:val="21"/>
              </w:rPr>
              <w:t>受益群众满意度90%以上。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1765" w:type="dxa"/>
            <w:vAlign w:val="center"/>
          </w:tcPr>
          <w:p>
            <w:pPr>
              <w:pStyle w:val="8"/>
              <w:autoSpaceDE/>
              <w:autoSpaceDN/>
              <w:spacing w:line="250" w:lineRule="exact"/>
              <w:jc w:val="center"/>
              <w:rPr>
                <w:rFonts w:cs="仿宋_GB2312" w:asciiTheme="minorEastAsia" w:hAnsiTheme="minorEastAsia" w:eastAsiaTheme="minorEastAsia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auto"/>
                <w:kern w:val="2"/>
                <w:sz w:val="21"/>
                <w:szCs w:val="21"/>
              </w:rPr>
              <w:t>大英县</w:t>
            </w:r>
          </w:p>
        </w:tc>
        <w:tc>
          <w:tcPr>
            <w:tcW w:w="8814" w:type="dxa"/>
            <w:vAlign w:val="center"/>
          </w:tcPr>
          <w:p>
            <w:pPr>
              <w:pStyle w:val="8"/>
              <w:autoSpaceDE/>
              <w:autoSpaceDN/>
              <w:spacing w:line="250" w:lineRule="exact"/>
              <w:jc w:val="left"/>
              <w:rPr>
                <w:rFonts w:cs="仿宋_GB2312" w:asciiTheme="minorEastAsia" w:hAnsiTheme="minorEastAsia" w:eastAsiaTheme="minorEastAsia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auto"/>
                <w:kern w:val="2"/>
                <w:sz w:val="21"/>
                <w:szCs w:val="21"/>
              </w:rPr>
              <w:t>2024年12月底前完成提灌站新建6座、改造61座。</w:t>
            </w:r>
          </w:p>
        </w:tc>
        <w:tc>
          <w:tcPr>
            <w:tcW w:w="1958" w:type="dxa"/>
            <w:vAlign w:val="center"/>
          </w:tcPr>
          <w:p>
            <w:pPr>
              <w:pStyle w:val="8"/>
              <w:autoSpaceDE/>
              <w:autoSpaceDN/>
              <w:spacing w:line="250" w:lineRule="exact"/>
              <w:jc w:val="center"/>
              <w:rPr>
                <w:rFonts w:cs="仿宋_GB2312" w:asciiTheme="minorEastAsia" w:hAnsiTheme="minorEastAsia" w:eastAsiaTheme="minorEastAsia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auto"/>
                <w:kern w:val="2"/>
                <w:sz w:val="21"/>
                <w:szCs w:val="21"/>
              </w:rPr>
              <w:t>资金使用无重大违规违纪问题；</w:t>
            </w:r>
          </w:p>
        </w:tc>
        <w:tc>
          <w:tcPr>
            <w:tcW w:w="1701" w:type="dxa"/>
            <w:vAlign w:val="center"/>
          </w:tcPr>
          <w:p>
            <w:pPr>
              <w:pStyle w:val="8"/>
              <w:autoSpaceDE/>
              <w:autoSpaceDN/>
              <w:spacing w:line="250" w:lineRule="exact"/>
              <w:jc w:val="center"/>
              <w:rPr>
                <w:rFonts w:cs="仿宋_GB2312" w:asciiTheme="minorEastAsia" w:hAnsiTheme="minorEastAsia" w:eastAsiaTheme="minorEastAsia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auto"/>
                <w:kern w:val="2"/>
                <w:sz w:val="21"/>
                <w:szCs w:val="21"/>
              </w:rPr>
              <w:t>受益群众满意度90%以上。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3" w:hRule="atLeast"/>
          <w:jc w:val="center"/>
        </w:trPr>
        <w:tc>
          <w:tcPr>
            <w:tcW w:w="1765" w:type="dxa"/>
            <w:vAlign w:val="center"/>
          </w:tcPr>
          <w:p>
            <w:pPr>
              <w:pStyle w:val="8"/>
              <w:autoSpaceDE/>
              <w:autoSpaceDN/>
              <w:spacing w:line="250" w:lineRule="exact"/>
              <w:jc w:val="center"/>
              <w:rPr>
                <w:rFonts w:cs="仿宋_GB2312" w:asciiTheme="minorEastAsia" w:hAnsiTheme="minorEastAsia" w:eastAsiaTheme="minorEastAsia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auto"/>
                <w:kern w:val="2"/>
                <w:sz w:val="21"/>
                <w:szCs w:val="21"/>
              </w:rPr>
              <w:t>市农产品质量安全中心</w:t>
            </w:r>
          </w:p>
        </w:tc>
        <w:tc>
          <w:tcPr>
            <w:tcW w:w="8814" w:type="dxa"/>
            <w:vAlign w:val="center"/>
          </w:tcPr>
          <w:p>
            <w:pPr>
              <w:pStyle w:val="8"/>
              <w:autoSpaceDE/>
              <w:autoSpaceDN/>
              <w:spacing w:line="250" w:lineRule="exact"/>
              <w:jc w:val="left"/>
              <w:rPr>
                <w:rFonts w:cs="仿宋_GB2312" w:asciiTheme="minorEastAsia" w:hAnsiTheme="minorEastAsia" w:eastAsiaTheme="minorEastAsia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auto"/>
                <w:kern w:val="2"/>
                <w:sz w:val="21"/>
                <w:szCs w:val="21"/>
              </w:rPr>
              <w:t>开展“3+3+3”特色农产品品牌培育，通过四川农村日报专版宣传1次、开展书法比赛活动1次、摄影大赛1次，通过手机彩铃宣传，“3+3+3”特色农产品品牌包装设计；参加中国西部（重庆）农交会、绿色食品博览会等中省展会、四川省农业博览会，全国农交会，各级各类展示推广活动，制作台历及手提袋等宣传品；2024年12月底前完成“三品一标”（绿色、有机、地标、名特优新）农产品培育奖补，农产品质量安全监管宣传，农产品质量安全“合格证+追溯码”工作。</w:t>
            </w:r>
          </w:p>
        </w:tc>
        <w:tc>
          <w:tcPr>
            <w:tcW w:w="1958" w:type="dxa"/>
            <w:vAlign w:val="center"/>
          </w:tcPr>
          <w:p>
            <w:pPr>
              <w:pStyle w:val="8"/>
              <w:autoSpaceDE/>
              <w:autoSpaceDN/>
              <w:spacing w:line="250" w:lineRule="exact"/>
              <w:jc w:val="center"/>
              <w:rPr>
                <w:rFonts w:cs="仿宋_GB2312" w:asciiTheme="minorEastAsia" w:hAnsiTheme="minorEastAsia" w:eastAsiaTheme="minorEastAsia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auto"/>
                <w:kern w:val="2"/>
                <w:sz w:val="21"/>
                <w:szCs w:val="21"/>
              </w:rPr>
              <w:t>资金使用无重大违规违纪问题；</w:t>
            </w:r>
          </w:p>
        </w:tc>
        <w:tc>
          <w:tcPr>
            <w:tcW w:w="1701" w:type="dxa"/>
            <w:vAlign w:val="center"/>
          </w:tcPr>
          <w:p>
            <w:pPr>
              <w:pStyle w:val="8"/>
              <w:autoSpaceDE/>
              <w:autoSpaceDN/>
              <w:spacing w:line="250" w:lineRule="exact"/>
              <w:jc w:val="center"/>
              <w:rPr>
                <w:rFonts w:cs="仿宋_GB2312" w:asciiTheme="minorEastAsia" w:hAnsiTheme="minorEastAsia" w:eastAsiaTheme="minorEastAsia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auto"/>
                <w:kern w:val="2"/>
                <w:sz w:val="21"/>
                <w:szCs w:val="21"/>
              </w:rPr>
              <w:t>受益群众满意度90%以上。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765" w:type="dxa"/>
            <w:vAlign w:val="center"/>
          </w:tcPr>
          <w:p>
            <w:pPr>
              <w:pStyle w:val="8"/>
              <w:autoSpaceDE/>
              <w:autoSpaceDN/>
              <w:spacing w:line="250" w:lineRule="exact"/>
              <w:jc w:val="center"/>
              <w:rPr>
                <w:rFonts w:cs="仿宋_GB2312" w:asciiTheme="minorEastAsia" w:hAnsiTheme="minorEastAsia" w:eastAsiaTheme="minorEastAsia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auto"/>
                <w:kern w:val="2"/>
                <w:sz w:val="21"/>
                <w:szCs w:val="21"/>
              </w:rPr>
              <w:t>市农产品检验监测中心</w:t>
            </w:r>
          </w:p>
        </w:tc>
        <w:tc>
          <w:tcPr>
            <w:tcW w:w="8814" w:type="dxa"/>
            <w:vAlign w:val="center"/>
          </w:tcPr>
          <w:p>
            <w:pPr>
              <w:pStyle w:val="8"/>
              <w:autoSpaceDE/>
              <w:autoSpaceDN/>
              <w:spacing w:line="250" w:lineRule="exact"/>
              <w:jc w:val="left"/>
              <w:rPr>
                <w:rFonts w:cs="仿宋_GB2312" w:asciiTheme="minorEastAsia" w:hAnsiTheme="minorEastAsia" w:eastAsiaTheme="minorEastAsia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auto"/>
                <w:kern w:val="2"/>
                <w:sz w:val="21"/>
                <w:szCs w:val="21"/>
              </w:rPr>
              <w:t>2024年12月底前完成市本级1750批次/千人农产品定量检测任务；完成仪器检修。</w:t>
            </w:r>
          </w:p>
        </w:tc>
        <w:tc>
          <w:tcPr>
            <w:tcW w:w="1958" w:type="dxa"/>
            <w:vAlign w:val="center"/>
          </w:tcPr>
          <w:p>
            <w:pPr>
              <w:pStyle w:val="8"/>
              <w:autoSpaceDE/>
              <w:autoSpaceDN/>
              <w:spacing w:line="250" w:lineRule="exact"/>
              <w:jc w:val="center"/>
              <w:rPr>
                <w:rFonts w:cs="仿宋_GB2312" w:asciiTheme="minorEastAsia" w:hAnsiTheme="minorEastAsia" w:eastAsiaTheme="minorEastAsia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auto"/>
                <w:kern w:val="2"/>
                <w:sz w:val="21"/>
                <w:szCs w:val="21"/>
              </w:rPr>
              <w:t>资金使用无重大违规违纪问题；</w:t>
            </w:r>
          </w:p>
        </w:tc>
        <w:tc>
          <w:tcPr>
            <w:tcW w:w="1701" w:type="dxa"/>
            <w:vAlign w:val="center"/>
          </w:tcPr>
          <w:p>
            <w:pPr>
              <w:pStyle w:val="8"/>
              <w:autoSpaceDE/>
              <w:autoSpaceDN/>
              <w:spacing w:line="250" w:lineRule="exact"/>
              <w:jc w:val="center"/>
              <w:rPr>
                <w:rFonts w:cs="仿宋_GB2312" w:asciiTheme="minorEastAsia" w:hAnsiTheme="minorEastAsia" w:eastAsiaTheme="minorEastAsia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auto"/>
                <w:kern w:val="2"/>
                <w:sz w:val="21"/>
                <w:szCs w:val="21"/>
              </w:rPr>
              <w:t>受益群众满意度90%以上。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765" w:type="dxa"/>
            <w:vAlign w:val="center"/>
          </w:tcPr>
          <w:p>
            <w:pPr>
              <w:pStyle w:val="8"/>
              <w:autoSpaceDE/>
              <w:autoSpaceDN/>
              <w:spacing w:line="250" w:lineRule="exact"/>
              <w:jc w:val="center"/>
              <w:rPr>
                <w:rFonts w:cs="仿宋_GB2312" w:asciiTheme="minorEastAsia" w:hAnsiTheme="minorEastAsia" w:eastAsiaTheme="minorEastAsia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auto"/>
                <w:kern w:val="2"/>
                <w:sz w:val="21"/>
                <w:szCs w:val="21"/>
              </w:rPr>
              <w:t>市农业农村局</w:t>
            </w:r>
          </w:p>
        </w:tc>
        <w:tc>
          <w:tcPr>
            <w:tcW w:w="8814" w:type="dxa"/>
            <w:vAlign w:val="center"/>
          </w:tcPr>
          <w:p>
            <w:pPr>
              <w:pStyle w:val="8"/>
              <w:autoSpaceDE/>
              <w:autoSpaceDN/>
              <w:spacing w:line="250" w:lineRule="exact"/>
              <w:jc w:val="left"/>
              <w:rPr>
                <w:rFonts w:cs="仿宋_GB2312" w:asciiTheme="minorEastAsia" w:hAnsiTheme="minorEastAsia" w:eastAsiaTheme="minorEastAsia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auto"/>
                <w:kern w:val="2"/>
                <w:sz w:val="21"/>
                <w:szCs w:val="21"/>
              </w:rPr>
              <w:t>2024年12月底前完成市级农产品监督抽查350批次；</w:t>
            </w:r>
          </w:p>
        </w:tc>
        <w:tc>
          <w:tcPr>
            <w:tcW w:w="1958" w:type="dxa"/>
            <w:vAlign w:val="center"/>
          </w:tcPr>
          <w:p>
            <w:pPr>
              <w:pStyle w:val="8"/>
              <w:autoSpaceDE/>
              <w:autoSpaceDN/>
              <w:spacing w:line="250" w:lineRule="exact"/>
              <w:jc w:val="center"/>
              <w:rPr>
                <w:rFonts w:cs="仿宋_GB2312" w:asciiTheme="minorEastAsia" w:hAnsiTheme="minorEastAsia" w:eastAsiaTheme="minorEastAsia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auto"/>
                <w:kern w:val="2"/>
                <w:sz w:val="21"/>
                <w:szCs w:val="21"/>
              </w:rPr>
              <w:t>资金使用无重大违规违纪问题；</w:t>
            </w:r>
          </w:p>
        </w:tc>
        <w:tc>
          <w:tcPr>
            <w:tcW w:w="1701" w:type="dxa"/>
            <w:vAlign w:val="center"/>
          </w:tcPr>
          <w:p>
            <w:pPr>
              <w:pStyle w:val="8"/>
              <w:autoSpaceDE/>
              <w:autoSpaceDN/>
              <w:spacing w:line="250" w:lineRule="exact"/>
              <w:jc w:val="center"/>
              <w:rPr>
                <w:rFonts w:cs="仿宋_GB2312" w:asciiTheme="minorEastAsia" w:hAnsiTheme="minorEastAsia" w:eastAsiaTheme="minorEastAsia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auto"/>
                <w:kern w:val="2"/>
                <w:sz w:val="21"/>
                <w:szCs w:val="21"/>
              </w:rPr>
              <w:t>受益群众满意度90%以上。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EFF087"/>
    <w:rsid w:val="FFEFF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basedOn w:val="3"/>
    <w:next w:val="1"/>
    <w:qFormat/>
    <w:uiPriority w:val="0"/>
    <w:pPr>
      <w:ind w:firstLine="420" w:firstLineChars="200"/>
    </w:pPr>
  </w:style>
  <w:style w:type="paragraph" w:customStyle="1" w:styleId="3">
    <w:name w:val="BodyTextIndent"/>
    <w:basedOn w:val="1"/>
    <w:qFormat/>
    <w:uiPriority w:val="0"/>
    <w:pPr>
      <w:ind w:left="420" w:leftChars="200"/>
    </w:pPr>
    <w:rPr>
      <w:rFonts w:eastAsia="宋体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ind w:left="320" w:leftChars="100" w:right="320" w:rightChars="100"/>
      <w:jc w:val="right"/>
      <w:pPrChange w:id="0" w:author="吉海燕" w:date="2024-04-26T14:18:00Z">
        <w:pPr>
          <w:widowControl w:val="0"/>
          <w:snapToGrid w:val="0"/>
        </w:pPr>
      </w:pPrChange>
    </w:pPr>
    <w:rPr>
      <w:rFonts w:ascii="宋体" w:hAnsi="宋体" w:eastAsia="宋体"/>
      <w:sz w:val="28"/>
      <w:szCs w:val="28"/>
      <w:lang w:val="zh-CN"/>
      <w:rPrChange w:id="1" w:author="吉海燕" w:date="2024-04-26T14:18:00Z">
        <w:rPr>
          <w:rFonts w:eastAsia="仿宋_GB2312"/>
          <w:kern w:val="2"/>
          <w:sz w:val="18"/>
          <w:szCs w:val="18"/>
          <w:lang w:val="en-US" w:eastAsia="zh-CN" w:bidi="ar-SA"/>
        </w:rPr>
      </w:rPrChange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Default"/>
    <w:qFormat/>
    <w:uiPriority w:val="99"/>
    <w:pPr>
      <w:widowControl w:val="0"/>
      <w:autoSpaceDE w:val="0"/>
      <w:autoSpaceDN w:val="0"/>
      <w:adjustRightInd w:val="0"/>
    </w:pPr>
    <w:rPr>
      <w:rFonts w:ascii="Times New Roman" w:hAnsi="Times New Roman" w:eastAsia="仿宋_GB2312" w:cs="宋体"/>
      <w:color w:val="000000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2024-12-05T18:08:00Z</dcterms:created>
  <dc:creator>snak</dc:creator>
  <cp:lastModifiedBy>snak</cp:lastModifiedBy>
  <dcterms:modified xsi:type="dcterms:W3CDTF">2024-12-05T18:09:29Z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</Properties>
</file>