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6"/>
          <w:szCs w:val="36"/>
        </w:rPr>
      </w:pPr>
      <w:r>
        <w:rPr>
          <w:rFonts w:hint="eastAsia" w:eastAsia="黑体"/>
          <w:color w:val="000000"/>
          <w:sz w:val="36"/>
          <w:szCs w:val="36"/>
        </w:rPr>
        <w:t>附件1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2024年市级财政衔接推进乡村振兴补助资金分配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公告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bookmarkEnd w:id="0"/>
    <w:p>
      <w:pPr>
        <w:spacing w:line="260" w:lineRule="exact"/>
        <w:jc w:val="center"/>
        <w:rPr>
          <w:rFonts w:ascii="仿宋_GB2312" w:hAnsi="仿宋_GB2312" w:cs="仿宋_GB2312"/>
          <w:sz w:val="24"/>
          <w:szCs w:val="24"/>
        </w:rPr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 w:ascii="仿宋_GB2312" w:hAnsi="仿宋_GB2312" w:cs="仿宋_GB2312"/>
          <w:sz w:val="24"/>
          <w:szCs w:val="24"/>
        </w:rPr>
        <w:t xml:space="preserve">  单位：万元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2113"/>
        <w:gridCol w:w="2104"/>
        <w:gridCol w:w="2574"/>
        <w:gridCol w:w="1777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各县（市、区）、市直园区及单位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合计</w:t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养殖环节病死猪无害化处理</w:t>
            </w: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兽医实验室检测试剂盒采购、仪器设备采购、动物防疫技能演练</w:t>
            </w: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特色农产品品牌培育</w:t>
            </w: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农机提灌站新（改）建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船山区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sum(C2:H2)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51.02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13.63</w:t>
            </w: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安居区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sum(C3:H3)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66.7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28.46</w:t>
            </w: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遂宁经开区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sum(C4:H4)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8.5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1.7</w:t>
            </w: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市河东新区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sum(C5:H5)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18.05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0.2</w:t>
            </w: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遂宁高新区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sum(C6:H6)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10.01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1.51</w:t>
            </w: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射洪市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sum(C10:H10)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67.14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蓬溪县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sum(C11:H11)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62.04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大英县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sum(C12:H12)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62.04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市农产品质量安全中心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sum(C8:H8)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380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380</w:t>
            </w: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市农产品检验监测中心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sum(C9:H9)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80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80</w:t>
            </w: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市农业农村局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sum(C7:H7)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108.87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68.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87</w:t>
            </w: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40</w:t>
            </w: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1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合计</w:t>
            </w:r>
          </w:p>
        </w:tc>
        <w:tc>
          <w:tcPr>
            <w:tcW w:w="211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sum(C13:H13)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914.37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45.5</w:t>
            </w:r>
          </w:p>
        </w:tc>
        <w:tc>
          <w:tcPr>
            <w:tcW w:w="257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68.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87</w:t>
            </w:r>
          </w:p>
        </w:tc>
        <w:tc>
          <w:tcPr>
            <w:tcW w:w="17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sum(F7:F9)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500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167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instrText xml:space="preserve"> = sum(H2:H12) \* MERGEFORMAT </w:instrTex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fldChar w:fldCharType="end"/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91A3"/>
    <w:rsid w:val="FFEF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ind w:left="420" w:leftChars="200"/>
    </w:pPr>
    <w:rPr>
      <w:rFonts w:eastAsia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left="320" w:leftChars="100" w:right="320" w:rightChars="100"/>
      <w:jc w:val="right"/>
      <w:pPrChange w:id="0" w:author="吉海燕" w:date="2024-04-26T14:18:00Z">
        <w:pPr>
          <w:widowControl w:val="0"/>
          <w:snapToGrid w:val="0"/>
        </w:pPr>
      </w:pPrChange>
    </w:pPr>
    <w:rPr>
      <w:rFonts w:ascii="宋体" w:hAnsi="宋体" w:eastAsia="宋体"/>
      <w:sz w:val="28"/>
      <w:szCs w:val="28"/>
      <w:lang w:val="zh-CN"/>
      <w:rPrChange w:id="1" w:author="吉海燕" w:date="2024-04-26T14:18:00Z">
        <w:rPr>
          <w:rFonts w:eastAsia="仿宋_GB2312"/>
          <w:kern w:val="2"/>
          <w:sz w:val="18"/>
          <w:szCs w:val="18"/>
          <w:lang w:val="en-US" w:eastAsia="zh-CN" w:bidi="ar-SA"/>
        </w:rPr>
      </w:rPrChange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2024-12-05T18:07:00Z</dcterms:created>
  <dc:creator>snak</dc:creator>
  <cp:lastModifiedBy>snak</cp:lastModifiedBy>
  <dcterms:modified xsi:type="dcterms:W3CDTF">2024-12-05T18:08:05Z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