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附件2</w:t>
      </w:r>
    </w:p>
    <w:p>
      <w:pPr>
        <w:pStyle w:val="2"/>
        <w:ind w:left="0" w:leftChars="0" w:firstLine="0" w:firstLineChars="0"/>
        <w:jc w:val="center"/>
        <w:rPr>
          <w:rFonts w:ascii="Times New Roman" w:hAnsi="Times New Roman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2024年市级财政衔接推进乡村振兴补助资金绩效目标表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97"/>
        <w:tblOverlap w:val="never"/>
        <w:tblW w:w="13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1994"/>
        <w:gridCol w:w="6476"/>
        <w:gridCol w:w="2158"/>
        <w:gridCol w:w="1770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5" w:hRule="atLeast"/>
          <w:tblHeader/>
          <w:jc w:val="center"/>
        </w:trPr>
        <w:tc>
          <w:tcPr>
            <w:tcW w:w="1994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1"/>
                <w:szCs w:val="21"/>
                <w:lang w:val="en"/>
              </w:rPr>
              <w:t>县（市、区）、</w:t>
            </w:r>
          </w:p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1"/>
                <w:szCs w:val="21"/>
                <w:lang w:val="en"/>
              </w:rPr>
              <w:t>市直园区及单位</w:t>
            </w:r>
          </w:p>
        </w:tc>
        <w:tc>
          <w:tcPr>
            <w:tcW w:w="6476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1"/>
                <w:szCs w:val="21"/>
                <w:lang w:val="en"/>
              </w:rPr>
              <w:t>产出指标</w:t>
            </w:r>
          </w:p>
        </w:tc>
        <w:tc>
          <w:tcPr>
            <w:tcW w:w="2158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1"/>
                <w:szCs w:val="21"/>
                <w:lang w:val="en"/>
              </w:rPr>
              <w:t>效益指标</w:t>
            </w:r>
          </w:p>
        </w:tc>
        <w:tc>
          <w:tcPr>
            <w:tcW w:w="1770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1"/>
                <w:szCs w:val="21"/>
                <w:lang w:val="en"/>
              </w:rPr>
              <w:t>满意度指标</w:t>
            </w:r>
          </w:p>
        </w:tc>
        <w:tc>
          <w:tcPr>
            <w:tcW w:w="1340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b/>
                <w:bCs/>
                <w:color w:val="000000"/>
                <w:kern w:val="0"/>
                <w:sz w:val="21"/>
                <w:szCs w:val="21"/>
                <w:lang w:val="e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5" w:hRule="atLeast"/>
          <w:jc w:val="center"/>
        </w:trPr>
        <w:tc>
          <w:tcPr>
            <w:tcW w:w="1994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船山区</w:t>
            </w:r>
          </w:p>
        </w:tc>
        <w:tc>
          <w:tcPr>
            <w:tcW w:w="6476" w:type="dxa"/>
            <w:vAlign w:val="center"/>
          </w:tcPr>
          <w:p>
            <w:pPr>
              <w:pStyle w:val="4"/>
              <w:spacing w:after="0" w:line="320" w:lineRule="exact"/>
              <w:jc w:val="left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晚熟柑橘品种改良300亩，到农科院引进适应我市气候条件、抗病虫害能力强、市场喜爱度高的优新品种，优化我市晚熟柑橘品种结构，支持种苗购置、高接换种；对1月</w:t>
            </w: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—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7月10日止重点区域、重点场点养殖场（户）补栏仔猪进行补贴；对2023年成功创建的2个省级畜禽养殖标准化示范场进行奖励，奖励资金在2024年9月底前兑付到位；2024年12月底前完成巩固拓展脱贫攻坚成果同乡村振兴有效衔接项目建设</w:t>
            </w: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158" w:type="dxa"/>
            <w:vAlign w:val="center"/>
          </w:tcPr>
          <w:p>
            <w:pPr>
              <w:pStyle w:val="4"/>
              <w:spacing w:after="0" w:line="320" w:lineRule="exact"/>
              <w:jc w:val="left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资金使用无重大违规违纪。</w:t>
            </w:r>
          </w:p>
        </w:tc>
        <w:tc>
          <w:tcPr>
            <w:tcW w:w="1770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受益群众满意度90%以上。</w:t>
            </w:r>
          </w:p>
        </w:tc>
        <w:tc>
          <w:tcPr>
            <w:tcW w:w="1340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901" w:hRule="atLeast"/>
          <w:jc w:val="center"/>
        </w:trPr>
        <w:tc>
          <w:tcPr>
            <w:tcW w:w="1994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安居区</w:t>
            </w:r>
          </w:p>
        </w:tc>
        <w:tc>
          <w:tcPr>
            <w:tcW w:w="6476" w:type="dxa"/>
            <w:vAlign w:val="center"/>
          </w:tcPr>
          <w:p>
            <w:pPr>
              <w:pStyle w:val="4"/>
              <w:spacing w:after="0" w:line="320" w:lineRule="exact"/>
              <w:jc w:val="left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晚熟柑橘品种改良300亩、鲜桃品种改良500亩，到农科院引进适应我市气候条件、抗病虫害能力强、市场喜爱度高的优新品种，优化我市晚熟柑橘品种、桃品种结构，支持种苗购置、高接换种；安居区桃新技术集成示范100亩，对种植园地老果园更新，采取标准化建园模式，宜机化操作模式建园等集成示范标准建设；对1月—7月10日止重点区域、重点场点养殖场（户）补栏仔猪进行补贴；对2023年成功创建的4个省级畜禽养殖标准化示范场进行奖励，奖励资金在2024年9月底前兑付到位；2024年12月底前完成巩固拓展脱贫攻坚成果同乡村振兴有效衔接项目建设；建设市级“三大竞赛”示范片建设16个</w:t>
            </w: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158" w:type="dxa"/>
            <w:vAlign w:val="center"/>
          </w:tcPr>
          <w:p>
            <w:pPr>
              <w:pStyle w:val="4"/>
              <w:spacing w:after="0" w:line="320" w:lineRule="exact"/>
              <w:jc w:val="left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资金使用无重大违规违纪。</w:t>
            </w:r>
          </w:p>
        </w:tc>
        <w:tc>
          <w:tcPr>
            <w:tcW w:w="1770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受益群众满意度90%以上。</w:t>
            </w:r>
          </w:p>
        </w:tc>
        <w:tc>
          <w:tcPr>
            <w:tcW w:w="1340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20" w:hRule="atLeast"/>
          <w:jc w:val="center"/>
        </w:trPr>
        <w:tc>
          <w:tcPr>
            <w:tcW w:w="1994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射洪市</w:t>
            </w:r>
          </w:p>
        </w:tc>
        <w:tc>
          <w:tcPr>
            <w:tcW w:w="6476" w:type="dxa"/>
            <w:vAlign w:val="center"/>
          </w:tcPr>
          <w:p>
            <w:pPr>
              <w:pStyle w:val="4"/>
              <w:spacing w:after="0" w:line="320" w:lineRule="exact"/>
              <w:jc w:val="left"/>
              <w:rPr>
                <w:rFonts w:eastAsia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对1月—7月10日止重点区域、重点场点养殖场（户）补栏仔猪进行补贴；对2023年成功创建的4个省级畜禽养殖标准化示范场进行奖励，奖励资金在2024年9月底前兑付到位；2024年12月底前完成巩固拓展脱贫攻坚成果同乡村振兴有效衔接项目建设；建设市级“三大竞赛”示范片建设</w:t>
            </w: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个</w:t>
            </w: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158" w:type="dxa"/>
            <w:vAlign w:val="center"/>
          </w:tcPr>
          <w:p>
            <w:pPr>
              <w:pStyle w:val="4"/>
              <w:spacing w:after="0" w:line="320" w:lineRule="exact"/>
              <w:jc w:val="left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资金使用无重大违规违纪。</w:t>
            </w:r>
          </w:p>
        </w:tc>
        <w:tc>
          <w:tcPr>
            <w:tcW w:w="1770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受益群众满意度90%以上。</w:t>
            </w:r>
          </w:p>
        </w:tc>
        <w:tc>
          <w:tcPr>
            <w:tcW w:w="1340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5" w:hRule="atLeast"/>
          <w:jc w:val="center"/>
        </w:trPr>
        <w:tc>
          <w:tcPr>
            <w:tcW w:w="1994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蓬溪县</w:t>
            </w:r>
          </w:p>
        </w:tc>
        <w:tc>
          <w:tcPr>
            <w:tcW w:w="6476" w:type="dxa"/>
            <w:vAlign w:val="center"/>
          </w:tcPr>
          <w:p>
            <w:pPr>
              <w:pStyle w:val="4"/>
              <w:spacing w:after="0" w:line="320" w:lineRule="exact"/>
              <w:jc w:val="left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鲜桃品种改良500亩，到农科院引进适应我市气候条件、抗病虫害能力强、市场喜爱度高的优新品种，优化我市桃品种结构，支持种苗购置、高接换种；建食用菌钢架生产大棚70亩，每亩预计产出2吨食用菌；对1月—7月10日止重点区域、重点场点养殖场（户）补栏仔猪进行补贴；对2023年成功创建的4个省级畜禽养殖标准化示范场进行奖励，奖励资金在2024年9月底前兑付到位；2024年12月底前完成巩固拓展脱贫攻坚成果同乡村振兴有效衔接项目建设；建设市级“三大竞赛”示范片建设</w:t>
            </w: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个</w:t>
            </w: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158" w:type="dxa"/>
            <w:vAlign w:val="center"/>
          </w:tcPr>
          <w:p>
            <w:pPr>
              <w:pStyle w:val="4"/>
              <w:spacing w:after="0" w:line="320" w:lineRule="exact"/>
              <w:jc w:val="left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资金使用无重大违规违纪。</w:t>
            </w:r>
          </w:p>
        </w:tc>
        <w:tc>
          <w:tcPr>
            <w:tcW w:w="1770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受益群众满意度90%以上。</w:t>
            </w:r>
          </w:p>
        </w:tc>
        <w:tc>
          <w:tcPr>
            <w:tcW w:w="1340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5" w:hRule="atLeast"/>
          <w:jc w:val="center"/>
        </w:trPr>
        <w:tc>
          <w:tcPr>
            <w:tcW w:w="1994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大英县</w:t>
            </w:r>
          </w:p>
        </w:tc>
        <w:tc>
          <w:tcPr>
            <w:tcW w:w="6476" w:type="dxa"/>
            <w:vAlign w:val="center"/>
          </w:tcPr>
          <w:p>
            <w:pPr>
              <w:pStyle w:val="4"/>
              <w:spacing w:after="0" w:line="320" w:lineRule="exact"/>
              <w:jc w:val="left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鲜桃品种改良200亩，到农科院引进适应我市气候条件、抗病虫害能力强、市场喜爱度高的优新品种，优化我市桃品种结构，支持种苗购置、高接换种；对1月—7月10日止重点区域、重点场点养殖场（户）补栏仔猪进行补贴；对2023年成功创建的1个省级畜禽养殖标准化示范场进行奖励，奖励资金在2024年9月底前兑付到位；2024年12月底前完成巩固拓展脱贫攻坚成果同乡村振兴有效衔接项目建设；建设市级“三大竞赛”示范片建设</w:t>
            </w: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个</w:t>
            </w: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158" w:type="dxa"/>
            <w:vAlign w:val="center"/>
          </w:tcPr>
          <w:p>
            <w:pPr>
              <w:pStyle w:val="4"/>
              <w:spacing w:after="0" w:line="320" w:lineRule="exact"/>
              <w:jc w:val="left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资金使用无重大违规违纪。</w:t>
            </w:r>
          </w:p>
        </w:tc>
        <w:tc>
          <w:tcPr>
            <w:tcW w:w="1770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受益群众满意度90%以上。</w:t>
            </w:r>
          </w:p>
        </w:tc>
        <w:tc>
          <w:tcPr>
            <w:tcW w:w="1340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5" w:hRule="atLeast"/>
          <w:jc w:val="center"/>
        </w:trPr>
        <w:tc>
          <w:tcPr>
            <w:tcW w:w="1994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遂宁高新区</w:t>
            </w:r>
          </w:p>
        </w:tc>
        <w:tc>
          <w:tcPr>
            <w:tcW w:w="6476" w:type="dxa"/>
            <w:vAlign w:val="center"/>
          </w:tcPr>
          <w:p>
            <w:pPr>
              <w:pStyle w:val="4"/>
              <w:spacing w:after="0" w:line="320" w:lineRule="exact"/>
              <w:jc w:val="left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2024年12月底前完成巩固拓展脱贫攻坚成果同乡村振兴有效衔接项目建设</w:t>
            </w: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158" w:type="dxa"/>
            <w:vAlign w:val="center"/>
          </w:tcPr>
          <w:p>
            <w:pPr>
              <w:pStyle w:val="4"/>
              <w:spacing w:after="0" w:line="320" w:lineRule="exact"/>
              <w:jc w:val="left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资金使用无重大违规违纪。</w:t>
            </w:r>
          </w:p>
        </w:tc>
        <w:tc>
          <w:tcPr>
            <w:tcW w:w="1770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受益群众满意度90%以上。</w:t>
            </w:r>
          </w:p>
        </w:tc>
        <w:tc>
          <w:tcPr>
            <w:tcW w:w="1340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5" w:hRule="atLeast"/>
          <w:jc w:val="center"/>
        </w:trPr>
        <w:tc>
          <w:tcPr>
            <w:tcW w:w="1994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市河东新区</w:t>
            </w:r>
          </w:p>
        </w:tc>
        <w:tc>
          <w:tcPr>
            <w:tcW w:w="6476" w:type="dxa"/>
            <w:vAlign w:val="center"/>
          </w:tcPr>
          <w:p>
            <w:pPr>
              <w:pStyle w:val="4"/>
              <w:spacing w:after="0" w:line="320" w:lineRule="exact"/>
              <w:jc w:val="left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2024年12月底前完成巩固拓展脱贫攻坚成果同乡村振兴有效衔接项目建设</w:t>
            </w: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158" w:type="dxa"/>
            <w:vAlign w:val="center"/>
          </w:tcPr>
          <w:p>
            <w:pPr>
              <w:pStyle w:val="4"/>
              <w:spacing w:after="0" w:line="320" w:lineRule="exact"/>
              <w:jc w:val="left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资金使用无重大违规违纪。</w:t>
            </w:r>
          </w:p>
        </w:tc>
        <w:tc>
          <w:tcPr>
            <w:tcW w:w="1770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受益群众满意度90%以上。</w:t>
            </w:r>
          </w:p>
        </w:tc>
        <w:tc>
          <w:tcPr>
            <w:tcW w:w="1340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5" w:hRule="atLeast"/>
          <w:jc w:val="center"/>
        </w:trPr>
        <w:tc>
          <w:tcPr>
            <w:tcW w:w="1994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遂宁经开区</w:t>
            </w:r>
          </w:p>
        </w:tc>
        <w:tc>
          <w:tcPr>
            <w:tcW w:w="6476" w:type="dxa"/>
            <w:vAlign w:val="center"/>
          </w:tcPr>
          <w:p>
            <w:pPr>
              <w:pStyle w:val="4"/>
              <w:spacing w:after="0" w:line="320" w:lineRule="exact"/>
              <w:jc w:val="left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2024年12月底前完成巩固拓展脱贫攻坚成果同乡村振兴有效衔接项目建设</w:t>
            </w: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158" w:type="dxa"/>
            <w:vAlign w:val="center"/>
          </w:tcPr>
          <w:p>
            <w:pPr>
              <w:pStyle w:val="4"/>
              <w:spacing w:after="0" w:line="320" w:lineRule="exact"/>
              <w:jc w:val="left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资金使用无重大违规违纪。</w:t>
            </w:r>
          </w:p>
        </w:tc>
        <w:tc>
          <w:tcPr>
            <w:tcW w:w="1770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受益群众满意度90%以上。</w:t>
            </w:r>
          </w:p>
        </w:tc>
        <w:tc>
          <w:tcPr>
            <w:tcW w:w="1340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5" w:hRule="atLeast"/>
          <w:jc w:val="center"/>
        </w:trPr>
        <w:tc>
          <w:tcPr>
            <w:tcW w:w="1994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市农业农村局</w:t>
            </w:r>
          </w:p>
        </w:tc>
        <w:tc>
          <w:tcPr>
            <w:tcW w:w="6476" w:type="dxa"/>
            <w:vAlign w:val="center"/>
          </w:tcPr>
          <w:p>
            <w:pPr>
              <w:pStyle w:val="4"/>
              <w:spacing w:after="0" w:line="320" w:lineRule="exact"/>
              <w:jc w:val="left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做好</w:t>
            </w: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“天府粮仓”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丰收节活动，开展乡村振兴天府粮仓展示、指数发布、庆丰收、遂宁鱼米发布等</w:t>
            </w: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158" w:type="dxa"/>
            <w:vAlign w:val="center"/>
          </w:tcPr>
          <w:p>
            <w:pPr>
              <w:pStyle w:val="4"/>
              <w:spacing w:after="0" w:line="320" w:lineRule="exact"/>
              <w:jc w:val="left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资金使用无重大违规违纪。</w:t>
            </w:r>
          </w:p>
        </w:tc>
        <w:tc>
          <w:tcPr>
            <w:tcW w:w="1770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  <w:lang w:val="en"/>
              </w:rPr>
              <w:t>受益群众满意度90%以上。</w:t>
            </w:r>
          </w:p>
        </w:tc>
        <w:tc>
          <w:tcPr>
            <w:tcW w:w="1340" w:type="dxa"/>
            <w:vAlign w:val="center"/>
          </w:tcPr>
          <w:p>
            <w:pPr>
              <w:pStyle w:val="4"/>
              <w:spacing w:after="0" w:line="320" w:lineRule="exact"/>
              <w:jc w:val="center"/>
              <w:rPr>
                <w:rFonts w:eastAsiaTheme="minorEastAsia"/>
                <w:color w:val="000000"/>
                <w:kern w:val="0"/>
                <w:sz w:val="21"/>
                <w:szCs w:val="21"/>
                <w:lang w:val="e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BD55F"/>
    <w:rsid w:val="FFEBD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2024-12-05T19:08:00Z</dcterms:created>
  <dc:creator>snak</dc:creator>
  <cp:lastModifiedBy>snak</cp:lastModifiedBy>
  <dcterms:modified xsi:type="dcterms:W3CDTF">2024-12-05T19:08:48Z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