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2024年市级财政衔接推进乡村振兴补助资金分配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及绩效目标表</w:t>
      </w:r>
      <w:bookmarkStart w:id="0" w:name="_GoBack"/>
      <w:bookmarkEnd w:id="0"/>
    </w:p>
    <w:tbl>
      <w:tblPr>
        <w:tblStyle w:val="4"/>
        <w:tblW w:w="14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44"/>
        <w:gridCol w:w="1758"/>
        <w:gridCol w:w="1457"/>
        <w:gridCol w:w="1063"/>
        <w:gridCol w:w="2247"/>
        <w:gridCol w:w="1684"/>
        <w:gridCol w:w="1562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35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示范农民专业合作社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示范家庭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农场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小计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省级</w:t>
            </w:r>
          </w:p>
          <w:p>
            <w:pPr>
              <w:widowControl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5万元/个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市级</w:t>
            </w:r>
          </w:p>
          <w:p>
            <w:pPr>
              <w:widowControl/>
              <w:spacing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2万元/个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省级</w:t>
            </w:r>
          </w:p>
          <w:p>
            <w:pPr>
              <w:widowControl/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2万元/个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对新评定的4家新型农业经营主体予以奖补。</w:t>
            </w: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受益群众满意度≥90%。</w:t>
            </w: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"/>
              </w:rPr>
              <w:t>安居区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对新评定的6家新型农业经营主体予以奖补。</w:t>
            </w: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受益群众满意度≥90%。</w:t>
            </w: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"/>
              </w:rPr>
              <w:t>射洪市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对新评定的20家新型农业经营主体予以奖补。</w:t>
            </w: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受益群众满意度≥90%。</w:t>
            </w: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对新评定的12家新型农业经营主体予以奖补。</w:t>
            </w: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受益群众满意度≥90%。</w:t>
            </w: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对新评定的10家新型农业经营主体予以奖补。</w:t>
            </w: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受益群众满意度≥90%。</w:t>
            </w: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4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8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247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B71CE"/>
    <w:rsid w:val="CFE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2024-12-05T19:28:00Z</dcterms:created>
  <dc:creator>snak</dc:creator>
  <cp:lastModifiedBy>snak</cp:lastModifiedBy>
  <dcterms:modified xsi:type="dcterms:W3CDTF">2024-12-05T19:29:15Z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