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</w:rPr>
      </w:pPr>
      <w:r>
        <w:rPr>
          <w:rFonts w:hint="eastAsia" w:eastAsia="黑体"/>
          <w:color w:val="000000"/>
        </w:rPr>
        <w:t>附件2</w:t>
      </w:r>
    </w:p>
    <w:p>
      <w:pPr>
        <w:spacing w:after="100" w:afterAutospacing="1"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</w:rPr>
        <w:t>4</w:t>
      </w:r>
      <w:r>
        <w:rPr>
          <w:rFonts w:ascii="方正小标宋_GBK" w:eastAsia="方正小标宋_GBK"/>
          <w:sz w:val="44"/>
          <w:szCs w:val="44"/>
        </w:rPr>
        <w:t>年市级</w:t>
      </w:r>
      <w:r>
        <w:rPr>
          <w:rFonts w:hint="eastAsia" w:ascii="方正小标宋_GBK" w:eastAsia="方正小标宋_GBK"/>
          <w:sz w:val="44"/>
          <w:szCs w:val="44"/>
        </w:rPr>
        <w:t>财政衔接推进乡村振兴补助资金绩效目标表</w:t>
      </w:r>
    </w:p>
    <w:tbl>
      <w:tblPr>
        <w:tblStyle w:val="6"/>
        <w:tblpPr w:leftFromText="180" w:rightFromText="180" w:vertAnchor="text" w:horzAnchor="page" w:tblpXSpec="center" w:tblpY="97"/>
        <w:tblOverlap w:val="never"/>
        <w:tblW w:w="13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2005"/>
        <w:gridCol w:w="7012"/>
        <w:gridCol w:w="1710"/>
        <w:gridCol w:w="187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3" w:hRule="atLeast"/>
          <w:jc w:val="center"/>
        </w:trPr>
        <w:tc>
          <w:tcPr>
            <w:tcW w:w="2005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  <w:lang w:val="en"/>
              </w:rPr>
              <w:t>县（市、区）、市直园区</w:t>
            </w:r>
          </w:p>
        </w:tc>
        <w:tc>
          <w:tcPr>
            <w:tcW w:w="7012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710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875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3" w:hRule="atLeast"/>
          <w:jc w:val="center"/>
        </w:trPr>
        <w:tc>
          <w:tcPr>
            <w:tcW w:w="2005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船山区</w:t>
            </w:r>
          </w:p>
        </w:tc>
        <w:tc>
          <w:tcPr>
            <w:tcW w:w="7012" w:type="dxa"/>
            <w:vAlign w:val="center"/>
          </w:tcPr>
          <w:p>
            <w:pPr>
              <w:pStyle w:val="4"/>
              <w:spacing w:after="0" w:line="2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开展农药包装废弃物回收体系建设，农药包装废弃物不发生大规模丢弃；对10个乡镇聘请乡村植保员进行补贴；开展病虫害智能监测设施设备更新及运行维护，不发生大规模农作物病虫害；巩固整治撂荒地2000亩；</w:t>
            </w:r>
          </w:p>
        </w:tc>
        <w:tc>
          <w:tcPr>
            <w:tcW w:w="1710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资金使用无重大违规违纪。</w:t>
            </w:r>
          </w:p>
        </w:tc>
        <w:tc>
          <w:tcPr>
            <w:tcW w:w="1875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受益群众满意度90%以上。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3" w:hRule="atLeast"/>
          <w:jc w:val="center"/>
        </w:trPr>
        <w:tc>
          <w:tcPr>
            <w:tcW w:w="2005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安居区</w:t>
            </w:r>
          </w:p>
        </w:tc>
        <w:tc>
          <w:tcPr>
            <w:tcW w:w="7012" w:type="dxa"/>
            <w:vAlign w:val="center"/>
          </w:tcPr>
          <w:p>
            <w:pPr>
              <w:pStyle w:val="4"/>
              <w:spacing w:after="0" w:line="2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开展农药包装废弃物回收体系建设，农药包装废弃物不发生大规模丢弃；对16个乡镇聘请乡村植保员进行补贴；开展病虫害智能监测设施设备更新及运行维护，不发生大规模农作物病虫害；巩固整治撂荒地5000亩；</w:t>
            </w:r>
          </w:p>
        </w:tc>
        <w:tc>
          <w:tcPr>
            <w:tcW w:w="1710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资金使用无重大违规违纪。</w:t>
            </w:r>
          </w:p>
        </w:tc>
        <w:tc>
          <w:tcPr>
            <w:tcW w:w="1875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受益群众满意度90%以上。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3" w:hRule="atLeast"/>
          <w:jc w:val="center"/>
        </w:trPr>
        <w:tc>
          <w:tcPr>
            <w:tcW w:w="2005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射洪市</w:t>
            </w:r>
          </w:p>
        </w:tc>
        <w:tc>
          <w:tcPr>
            <w:tcW w:w="7012" w:type="dxa"/>
            <w:vAlign w:val="center"/>
          </w:tcPr>
          <w:p>
            <w:pPr>
              <w:pStyle w:val="4"/>
              <w:spacing w:after="0" w:line="2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展玉米、水稻制种核心示范基地建设20000亩；开展农药包装废弃物回收体系建设，农药包装废弃物不发生大规模丢弃；对21个乡镇聘请乡村植保员进行补贴；开展病虫害智能监测设施设备更新及运行维护，不发生大规模农作物病虫害；巩固整治撂荒地5000亩；</w:t>
            </w:r>
          </w:p>
        </w:tc>
        <w:tc>
          <w:tcPr>
            <w:tcW w:w="1710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资金使用无重大违规违纪。</w:t>
            </w:r>
          </w:p>
        </w:tc>
        <w:tc>
          <w:tcPr>
            <w:tcW w:w="1875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受益群众满意度90%以上。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3" w:hRule="atLeast"/>
          <w:jc w:val="center"/>
        </w:trPr>
        <w:tc>
          <w:tcPr>
            <w:tcW w:w="2005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蓬溪县</w:t>
            </w:r>
          </w:p>
        </w:tc>
        <w:tc>
          <w:tcPr>
            <w:tcW w:w="7012" w:type="dxa"/>
            <w:vAlign w:val="center"/>
          </w:tcPr>
          <w:p>
            <w:pPr>
              <w:pStyle w:val="4"/>
              <w:spacing w:after="0" w:line="2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开展农药包装废弃物回收体系建设，农药包装废弃物不发生大规模丢弃；对19个乡镇聘请乡村植保员进行补贴；开展病虫害智能监测设施设备更新及运行维护，不发生大规模农作物病虫害；巩固整治撂荒地5000亩；</w:t>
            </w:r>
          </w:p>
        </w:tc>
        <w:tc>
          <w:tcPr>
            <w:tcW w:w="1710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资金使用无重大违规违纪。</w:t>
            </w:r>
          </w:p>
        </w:tc>
        <w:tc>
          <w:tcPr>
            <w:tcW w:w="1875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受益群众满意度90%以上。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3" w:hRule="atLeast"/>
          <w:jc w:val="center"/>
        </w:trPr>
        <w:tc>
          <w:tcPr>
            <w:tcW w:w="2005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大英县</w:t>
            </w:r>
          </w:p>
        </w:tc>
        <w:tc>
          <w:tcPr>
            <w:tcW w:w="7012" w:type="dxa"/>
            <w:vAlign w:val="center"/>
          </w:tcPr>
          <w:p>
            <w:pPr>
              <w:pStyle w:val="4"/>
              <w:spacing w:after="0" w:line="2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开展农药包装废弃物回收体系建设，农药包装废弃物不发生大规模丢弃；对9个乡镇聘请乡村植保员进行补贴；开展病虫害智能监测设施设备更新及运行维护，不发生大规模农作物病虫害；巩固整治撂荒地5000亩；</w:t>
            </w:r>
          </w:p>
        </w:tc>
        <w:tc>
          <w:tcPr>
            <w:tcW w:w="1710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资金使用无重大违规违纪。</w:t>
            </w:r>
          </w:p>
        </w:tc>
        <w:tc>
          <w:tcPr>
            <w:tcW w:w="1875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受益群众满意度90%以上。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3" w:hRule="atLeast"/>
          <w:jc w:val="center"/>
        </w:trPr>
        <w:tc>
          <w:tcPr>
            <w:tcW w:w="2005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遂宁高新区</w:t>
            </w:r>
          </w:p>
        </w:tc>
        <w:tc>
          <w:tcPr>
            <w:tcW w:w="7012" w:type="dxa"/>
            <w:vAlign w:val="center"/>
          </w:tcPr>
          <w:p>
            <w:pPr>
              <w:pStyle w:val="4"/>
              <w:spacing w:after="0" w:line="2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巩固整治撂荒地250亩；</w:t>
            </w:r>
          </w:p>
        </w:tc>
        <w:tc>
          <w:tcPr>
            <w:tcW w:w="1710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资金使用无重大违规违纪</w:t>
            </w:r>
          </w:p>
        </w:tc>
        <w:tc>
          <w:tcPr>
            <w:tcW w:w="1875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受益群众满意度90%以上。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3" w:hRule="atLeast"/>
          <w:jc w:val="center"/>
        </w:trPr>
        <w:tc>
          <w:tcPr>
            <w:tcW w:w="2005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遂宁河东新区</w:t>
            </w:r>
          </w:p>
        </w:tc>
        <w:tc>
          <w:tcPr>
            <w:tcW w:w="7012" w:type="dxa"/>
            <w:vAlign w:val="center"/>
          </w:tcPr>
          <w:p>
            <w:pPr>
              <w:pStyle w:val="4"/>
              <w:spacing w:after="0" w:line="2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巩固整治撂荒地250亩；</w:t>
            </w:r>
          </w:p>
        </w:tc>
        <w:tc>
          <w:tcPr>
            <w:tcW w:w="1710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资金使用无重大违规违纪</w:t>
            </w:r>
          </w:p>
        </w:tc>
        <w:tc>
          <w:tcPr>
            <w:tcW w:w="1875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受益群众满意度90%以上。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3" w:hRule="atLeast"/>
          <w:jc w:val="center"/>
        </w:trPr>
        <w:tc>
          <w:tcPr>
            <w:tcW w:w="2005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遂宁经开区</w:t>
            </w:r>
          </w:p>
        </w:tc>
        <w:tc>
          <w:tcPr>
            <w:tcW w:w="7012" w:type="dxa"/>
            <w:vAlign w:val="center"/>
          </w:tcPr>
          <w:p>
            <w:pPr>
              <w:pStyle w:val="4"/>
              <w:spacing w:after="0" w:line="2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巩固整治撂荒地250亩；</w:t>
            </w:r>
          </w:p>
        </w:tc>
        <w:tc>
          <w:tcPr>
            <w:tcW w:w="1710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资金使用无重大违规违纪</w:t>
            </w:r>
          </w:p>
        </w:tc>
        <w:tc>
          <w:tcPr>
            <w:tcW w:w="1875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受益群众满意度90%以上。</w:t>
            </w:r>
          </w:p>
        </w:tc>
        <w:tc>
          <w:tcPr>
            <w:tcW w:w="1215" w:type="dxa"/>
            <w:vAlign w:val="center"/>
          </w:tcPr>
          <w:p>
            <w:pPr>
              <w:pStyle w:val="4"/>
              <w:spacing w:after="0" w:line="260" w:lineRule="exact"/>
              <w:jc w:val="center"/>
              <w:rPr>
                <w:rFonts w:asciiTheme="minorEastAsia" w:hAnsiTheme="minorEastAsia" w:eastAsiaTheme="minorEastAsia"/>
                <w:color w:val="FF0000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F087"/>
    <w:rsid w:val="31BA54EA"/>
    <w:rsid w:val="FFEFF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ind w:left="420" w:leftChars="200"/>
    </w:pPr>
    <w:rPr>
      <w:rFonts w:eastAsia="宋体"/>
    </w:r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ind w:left="320" w:leftChars="100" w:right="320" w:rightChars="100"/>
      <w:jc w:val="right"/>
      <w:pPrChange w:id="0" w:author="吉海燕" w:date="2024-04-26T14:18:00Z">
        <w:pPr>
          <w:widowControl w:val="0"/>
          <w:snapToGrid w:val="0"/>
        </w:pPr>
      </w:pPrChange>
    </w:pPr>
    <w:rPr>
      <w:rFonts w:ascii="宋体" w:hAnsi="宋体" w:eastAsia="宋体"/>
      <w:sz w:val="28"/>
      <w:szCs w:val="28"/>
      <w:lang w:val="zh-CN"/>
      <w:rPrChange w:id="1" w:author="吉海燕" w:date="2024-04-26T14:18:00Z">
        <w:rPr>
          <w:rFonts w:eastAsia="仿宋_GB2312"/>
          <w:kern w:val="2"/>
          <w:sz w:val="18"/>
          <w:szCs w:val="18"/>
          <w:lang w:val="en-US" w:eastAsia="zh-CN" w:bidi="ar-SA"/>
        </w:rPr>
      </w:rPrChange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2024-12-05T18:08:00Z</dcterms:created>
  <dc:creator>snak</dc:creator>
  <cp:lastModifiedBy>snak</cp:lastModifiedBy>
  <dcterms:modified xsi:type="dcterms:W3CDTF">2024-12-05T18:26:23Z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