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20" w:hanging="1760" w:hangingChars="400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2024年市级财政衔接推进乡村振兴补助资金分配公告及绩效目标表</w:t>
      </w:r>
      <w:bookmarkStart w:id="0" w:name="_GoBack"/>
      <w:bookmarkEnd w:id="0"/>
    </w:p>
    <w:p>
      <w:pPr>
        <w:ind w:left="1120" w:hanging="1120" w:hangingChars="400"/>
        <w:jc w:val="right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单位：万元</w:t>
      </w:r>
    </w:p>
    <w:tbl>
      <w:tblPr>
        <w:tblStyle w:val="3"/>
        <w:tblW w:w="14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66"/>
        <w:gridCol w:w="3175"/>
        <w:gridCol w:w="3113"/>
        <w:gridCol w:w="1930"/>
        <w:gridCol w:w="2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地区名称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风险补偿金贷款贴息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绩效目标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11月底前完成风险补偿金贷款贴息资金发放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受益群众满意度≥</w:t>
            </w:r>
            <w:r>
              <w:rPr>
                <w:rFonts w:eastAsiaTheme="minorEastAsia"/>
                <w:kern w:val="0"/>
                <w:sz w:val="24"/>
                <w:szCs w:val="24"/>
              </w:rPr>
              <w:t>90%。</w:t>
            </w:r>
          </w:p>
        </w:tc>
        <w:tc>
          <w:tcPr>
            <w:tcW w:w="2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收到资金后，与日后下达的清算资金统一使用，并按照贴息台账对应贴息金额及时拨付到位。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2"/>
                <w:szCs w:val="22"/>
              </w:rPr>
              <w:t>二是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各地农业农村部门仔细核对，所补贴贴息资金需与贴息台账应一一对应。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11月底前完成风险补偿金贷款贴息资金发放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受益群众满意度≥</w:t>
            </w:r>
            <w:r>
              <w:rPr>
                <w:rFonts w:eastAsiaTheme="minorEastAsia"/>
                <w:kern w:val="0"/>
                <w:sz w:val="24"/>
                <w:szCs w:val="24"/>
              </w:rPr>
              <w:t>90%。</w:t>
            </w:r>
          </w:p>
        </w:tc>
        <w:tc>
          <w:tcPr>
            <w:tcW w:w="2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射洪市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11月底前完成风险补偿金贷款贴息资金发放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受益群众满意度≥</w:t>
            </w:r>
            <w:r>
              <w:rPr>
                <w:rFonts w:eastAsiaTheme="minorEastAsia"/>
                <w:kern w:val="0"/>
                <w:sz w:val="24"/>
                <w:szCs w:val="24"/>
              </w:rPr>
              <w:t>90%。</w:t>
            </w:r>
          </w:p>
        </w:tc>
        <w:tc>
          <w:tcPr>
            <w:tcW w:w="2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11月底前完成风险补偿金贷款贴息资金发放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受益群众满意度≥</w:t>
            </w:r>
            <w:r>
              <w:rPr>
                <w:rFonts w:eastAsiaTheme="minorEastAsia"/>
                <w:kern w:val="0"/>
                <w:sz w:val="24"/>
                <w:szCs w:val="24"/>
              </w:rPr>
              <w:t>90%。</w:t>
            </w:r>
          </w:p>
        </w:tc>
        <w:tc>
          <w:tcPr>
            <w:tcW w:w="2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11月底前完成风险补偿金贷款贴息资金发放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受益群众满意度≥</w:t>
            </w:r>
            <w:r>
              <w:rPr>
                <w:rFonts w:eastAsiaTheme="minorEastAsia"/>
                <w:kern w:val="0"/>
                <w:sz w:val="24"/>
                <w:szCs w:val="24"/>
              </w:rPr>
              <w:t>90%。</w:t>
            </w:r>
          </w:p>
        </w:tc>
        <w:tc>
          <w:tcPr>
            <w:tcW w:w="2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23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64577"/>
    <w:rsid w:val="D77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2024-12-05T19:17:00Z</dcterms:created>
  <dc:creator>snak</dc:creator>
  <cp:lastModifiedBy>snak</cp:lastModifiedBy>
  <dcterms:modified xsi:type="dcterms:W3CDTF">2024-12-05T19:19:23Z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