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ind w:firstLine="560"/>
        <w:rPr>
          <w:rFonts w:ascii="Times New Roman" w:hAnsi="Times New Roman" w:eastAsia="仿宋"/>
          <w:szCs w:val="28"/>
        </w:rPr>
      </w:pPr>
    </w:p>
    <w:p>
      <w:pPr>
        <w:spacing w:line="600" w:lineRule="exact"/>
        <w:ind w:firstLine="560"/>
        <w:rPr>
          <w:rFonts w:ascii="Times New Roman" w:hAnsi="Times New Roman" w:eastAsia="仿宋"/>
          <w:szCs w:val="28"/>
        </w:rPr>
      </w:pPr>
    </w:p>
    <w:p>
      <w:pPr>
        <w:spacing w:line="600" w:lineRule="exact"/>
        <w:ind w:firstLine="0" w:firstLineChars="0"/>
        <w:jc w:val="center"/>
        <w:rPr>
          <w:rFonts w:hint="eastAsia"/>
          <w:b/>
          <w:sz w:val="48"/>
          <w:szCs w:val="48"/>
        </w:rPr>
      </w:pPr>
      <w:r>
        <w:rPr>
          <w:rFonts w:hint="eastAsia"/>
          <w:b/>
          <w:sz w:val="48"/>
          <w:szCs w:val="48"/>
        </w:rPr>
        <w:t>2019年</w:t>
      </w:r>
    </w:p>
    <w:p>
      <w:pPr>
        <w:spacing w:line="600" w:lineRule="exact"/>
        <w:ind w:firstLine="0" w:firstLineChars="0"/>
        <w:jc w:val="center"/>
        <w:rPr>
          <w:rFonts w:hint="eastAsia"/>
          <w:b/>
          <w:sz w:val="48"/>
          <w:szCs w:val="48"/>
        </w:rPr>
      </w:pPr>
    </w:p>
    <w:p>
      <w:pPr>
        <w:spacing w:line="600" w:lineRule="exact"/>
        <w:ind w:firstLine="0" w:firstLineChars="0"/>
        <w:jc w:val="center"/>
        <w:rPr>
          <w:rFonts w:hint="eastAsia"/>
          <w:b/>
          <w:sz w:val="48"/>
          <w:szCs w:val="48"/>
        </w:rPr>
      </w:pPr>
    </w:p>
    <w:p>
      <w:pPr>
        <w:spacing w:line="600" w:lineRule="exact"/>
        <w:ind w:firstLine="0" w:firstLineChars="0"/>
        <w:jc w:val="center"/>
        <w:rPr>
          <w:rFonts w:hint="eastAsia"/>
          <w:b/>
          <w:sz w:val="48"/>
          <w:szCs w:val="48"/>
        </w:rPr>
      </w:pPr>
      <w:r>
        <w:rPr>
          <w:rFonts w:hint="eastAsia" w:ascii="Times New Roman" w:hAnsi="Times New Roman" w:eastAsia="仿宋"/>
          <w:b/>
          <w:sz w:val="48"/>
          <w:szCs w:val="48"/>
        </w:rPr>
        <w:t>遂宁市</w:t>
      </w:r>
      <w:r>
        <w:rPr>
          <w:rFonts w:hint="eastAsia"/>
          <w:b/>
          <w:sz w:val="48"/>
          <w:szCs w:val="48"/>
        </w:rPr>
        <w:t>射洪市</w:t>
      </w:r>
      <w:r>
        <w:rPr>
          <w:rFonts w:hint="eastAsia"/>
          <w:b/>
          <w:sz w:val="48"/>
          <w:szCs w:val="48"/>
          <w:lang w:val="en-US" w:eastAsia="zh-CN"/>
        </w:rPr>
        <w:t>青岗镇幸福村</w:t>
      </w:r>
    </w:p>
    <w:p>
      <w:pPr>
        <w:spacing w:line="600" w:lineRule="exact"/>
        <w:ind w:firstLine="0" w:firstLineChars="0"/>
        <w:jc w:val="center"/>
        <w:rPr>
          <w:rFonts w:hint="eastAsia"/>
          <w:b/>
          <w:sz w:val="48"/>
          <w:szCs w:val="48"/>
        </w:rPr>
      </w:pPr>
    </w:p>
    <w:p>
      <w:pPr>
        <w:pStyle w:val="2"/>
        <w:ind w:left="0" w:leftChars="0" w:firstLine="0" w:firstLineChars="0"/>
        <w:jc w:val="both"/>
        <w:rPr>
          <w:rFonts w:hint="eastAsia"/>
          <w:b/>
          <w:sz w:val="48"/>
          <w:szCs w:val="48"/>
        </w:rPr>
      </w:pPr>
    </w:p>
    <w:p>
      <w:pPr>
        <w:pStyle w:val="3"/>
        <w:rPr>
          <w:rFonts w:hint="eastAsia"/>
        </w:rPr>
      </w:pPr>
    </w:p>
    <w:p>
      <w:pPr>
        <w:spacing w:line="600" w:lineRule="exact"/>
        <w:ind w:firstLine="0" w:firstLineChars="0"/>
        <w:jc w:val="center"/>
        <w:rPr>
          <w:rFonts w:ascii="Times New Roman" w:hAnsi="Times New Roman" w:eastAsia="仿宋"/>
          <w:b/>
          <w:sz w:val="48"/>
          <w:szCs w:val="48"/>
        </w:rPr>
      </w:pPr>
      <w:r>
        <w:rPr>
          <w:rFonts w:hint="eastAsia"/>
          <w:b/>
          <w:sz w:val="48"/>
          <w:szCs w:val="48"/>
        </w:rPr>
        <w:t>人居环境整治改厕</w:t>
      </w:r>
      <w:r>
        <w:rPr>
          <w:b/>
          <w:sz w:val="48"/>
          <w:szCs w:val="48"/>
        </w:rPr>
        <w:t>工程</w:t>
      </w:r>
    </w:p>
    <w:p>
      <w:pPr>
        <w:spacing w:line="600" w:lineRule="exact"/>
        <w:ind w:firstLine="0" w:firstLineChars="0"/>
        <w:jc w:val="center"/>
        <w:rPr>
          <w:rFonts w:ascii="Times New Roman" w:hAnsi="Times New Roman" w:eastAsia="仿宋"/>
          <w:b/>
          <w:sz w:val="48"/>
          <w:szCs w:val="28"/>
        </w:rPr>
      </w:pPr>
    </w:p>
    <w:p>
      <w:pPr>
        <w:spacing w:line="600" w:lineRule="exact"/>
        <w:ind w:firstLine="0" w:firstLineChars="0"/>
        <w:jc w:val="center"/>
        <w:rPr>
          <w:rFonts w:ascii="Times New Roman" w:hAnsi="Times New Roman" w:eastAsia="仿宋"/>
          <w:b/>
          <w:sz w:val="48"/>
          <w:szCs w:val="28"/>
        </w:rPr>
      </w:pPr>
    </w:p>
    <w:p>
      <w:pPr>
        <w:spacing w:line="600" w:lineRule="exact"/>
        <w:ind w:firstLine="0" w:firstLineChars="0"/>
        <w:jc w:val="center"/>
        <w:rPr>
          <w:rFonts w:ascii="Times New Roman" w:hAnsi="Times New Roman" w:eastAsia="仿宋"/>
          <w:b/>
          <w:sz w:val="48"/>
          <w:szCs w:val="28"/>
        </w:rPr>
      </w:pPr>
    </w:p>
    <w:p>
      <w:pPr>
        <w:spacing w:line="600" w:lineRule="exact"/>
        <w:ind w:firstLine="0" w:firstLineChars="0"/>
        <w:jc w:val="center"/>
        <w:rPr>
          <w:rFonts w:ascii="Times New Roman" w:hAnsi="Times New Roman" w:eastAsia="仿宋"/>
          <w:b/>
          <w:sz w:val="48"/>
          <w:szCs w:val="28"/>
        </w:rPr>
      </w:pPr>
    </w:p>
    <w:p>
      <w:pPr>
        <w:spacing w:line="600" w:lineRule="exact"/>
        <w:ind w:firstLine="0" w:firstLineChars="0"/>
        <w:jc w:val="both"/>
        <w:rPr>
          <w:rFonts w:ascii="Times New Roman" w:hAnsi="Times New Roman" w:eastAsia="仿宋"/>
          <w:b/>
          <w:sz w:val="48"/>
          <w:szCs w:val="28"/>
        </w:rPr>
      </w:pPr>
    </w:p>
    <w:p>
      <w:pPr>
        <w:spacing w:line="600" w:lineRule="exact"/>
        <w:ind w:firstLine="0" w:firstLineChars="0"/>
        <w:jc w:val="both"/>
        <w:rPr>
          <w:rFonts w:ascii="Times New Roman" w:hAnsi="Times New Roman" w:eastAsia="仿宋"/>
          <w:b/>
          <w:sz w:val="48"/>
          <w:szCs w:val="28"/>
        </w:rPr>
      </w:pPr>
    </w:p>
    <w:p>
      <w:pPr>
        <w:spacing w:line="600" w:lineRule="exact"/>
        <w:ind w:firstLine="0" w:firstLineChars="0"/>
        <w:jc w:val="center"/>
        <w:rPr>
          <w:rFonts w:ascii="Times New Roman" w:hAnsi="Times New Roman" w:eastAsia="仿宋"/>
          <w:b/>
          <w:sz w:val="48"/>
          <w:szCs w:val="28"/>
        </w:rPr>
      </w:pPr>
      <w:r>
        <w:rPr>
          <w:rFonts w:ascii="Times New Roman" w:hAnsi="Times New Roman" w:eastAsia="仿宋"/>
          <w:b/>
          <w:sz w:val="48"/>
          <w:szCs w:val="28"/>
        </w:rPr>
        <w:t xml:space="preserve">    </w:t>
      </w:r>
    </w:p>
    <w:p>
      <w:pPr>
        <w:spacing w:line="600" w:lineRule="exact"/>
        <w:ind w:firstLine="0" w:firstLineChars="0"/>
        <w:jc w:val="center"/>
        <w:rPr>
          <w:rFonts w:hint="eastAsia" w:ascii="Times New Roman" w:hAnsi="Times New Roman" w:eastAsia="仿宋"/>
          <w:b/>
          <w:sz w:val="36"/>
          <w:szCs w:val="28"/>
        </w:rPr>
      </w:pPr>
      <w:r>
        <w:rPr>
          <w:rFonts w:hint="eastAsia" w:ascii="Times New Roman" w:hAnsi="Times New Roman" w:eastAsia="仿宋"/>
          <w:b/>
          <w:sz w:val="36"/>
          <w:szCs w:val="28"/>
          <w:lang w:val="en-US" w:eastAsia="zh-CN"/>
        </w:rPr>
        <w:t>射洪市</w:t>
      </w:r>
      <w:r>
        <w:rPr>
          <w:rFonts w:hint="eastAsia" w:ascii="Times New Roman" w:hAnsi="Times New Roman" w:eastAsia="仿宋"/>
          <w:b/>
          <w:sz w:val="36"/>
          <w:szCs w:val="28"/>
        </w:rPr>
        <w:t>农业农村局</w:t>
      </w:r>
    </w:p>
    <w:p>
      <w:pPr>
        <w:pStyle w:val="2"/>
        <w:ind w:firstLine="1807" w:firstLineChars="500"/>
        <w:jc w:val="both"/>
        <w:rPr>
          <w:rFonts w:hint="default" w:eastAsia="仿宋"/>
          <w:color w:val="000000" w:themeColor="text1"/>
          <w:lang w:val="en-US" w:eastAsia="zh-CN"/>
          <w14:textFill>
            <w14:solidFill>
              <w14:schemeClr w14:val="tx1"/>
            </w14:solidFill>
          </w14:textFill>
        </w:rPr>
      </w:pPr>
      <w:r>
        <w:rPr>
          <w:rFonts w:hint="eastAsia" w:ascii="Times New Roman" w:hAnsi="Times New Roman" w:eastAsia="仿宋"/>
          <w:b/>
          <w:color w:val="000000" w:themeColor="text1"/>
          <w:sz w:val="36"/>
          <w:szCs w:val="28"/>
          <w:lang w:val="en-US" w:eastAsia="zh-CN"/>
          <w14:textFill>
            <w14:solidFill>
              <w14:schemeClr w14:val="tx1"/>
            </w14:solidFill>
          </w14:textFill>
        </w:rPr>
        <w:t>绵阳市朝阳建筑设计有限公司</w:t>
      </w:r>
    </w:p>
    <w:p>
      <w:pPr>
        <w:spacing w:line="600" w:lineRule="exact"/>
        <w:ind w:firstLine="0" w:firstLineChars="0"/>
        <w:jc w:val="center"/>
        <w:rPr>
          <w:rFonts w:ascii="Times New Roman" w:hAnsi="Times New Roman" w:eastAsia="仿宋"/>
          <w:b/>
          <w:sz w:val="36"/>
          <w:szCs w:val="28"/>
        </w:rPr>
      </w:pPr>
      <w:r>
        <w:rPr>
          <w:rFonts w:hint="eastAsia" w:ascii="Times New Roman" w:hAnsi="Times New Roman" w:eastAsia="仿宋"/>
          <w:b/>
          <w:sz w:val="36"/>
          <w:szCs w:val="28"/>
        </w:rPr>
        <w:t>二〇一九年</w:t>
      </w:r>
      <w:r>
        <w:rPr>
          <w:rFonts w:hint="eastAsia" w:ascii="Times New Roman" w:hAnsi="Times New Roman" w:eastAsia="仿宋"/>
          <w:b/>
          <w:sz w:val="36"/>
          <w:szCs w:val="28"/>
          <w:lang w:val="en-US" w:eastAsia="zh-CN"/>
        </w:rPr>
        <w:t>九</w:t>
      </w:r>
      <w:r>
        <w:rPr>
          <w:rFonts w:hint="eastAsia" w:ascii="Times New Roman" w:hAnsi="Times New Roman" w:eastAsia="仿宋"/>
          <w:b/>
          <w:sz w:val="36"/>
          <w:szCs w:val="28"/>
        </w:rPr>
        <w:t>月</w:t>
      </w:r>
    </w:p>
    <w:p>
      <w:pPr>
        <w:spacing w:line="600" w:lineRule="exact"/>
        <w:ind w:firstLine="560"/>
        <w:rPr>
          <w:rFonts w:ascii="Times New Roman" w:hAnsi="Times New Roman" w:eastAsia="仿宋"/>
          <w:szCs w:val="28"/>
        </w:rPr>
      </w:pPr>
    </w:p>
    <w:p>
      <w:pPr>
        <w:ind w:firstLine="562"/>
        <w:jc w:val="center"/>
        <w:rPr>
          <w:rFonts w:ascii="Times New Roman" w:hAnsi="Times New Roman" w:eastAsia="仿宋"/>
          <w:b/>
          <w:bCs/>
          <w:szCs w:val="28"/>
        </w:rPr>
      </w:pPr>
      <w:r>
        <w:rPr>
          <w:rFonts w:ascii="Times New Roman" w:hAnsi="Times New Roman" w:eastAsia="仿宋"/>
          <w:b/>
          <w:bCs/>
          <w:szCs w:val="28"/>
        </w:rPr>
        <w:br w:type="page"/>
      </w:r>
    </w:p>
    <w:p>
      <w:pPr>
        <w:ind w:firstLine="560"/>
        <w:jc w:val="center"/>
        <w:rPr>
          <w:rFonts w:ascii="Times New Roman" w:hAnsi="Times New Roman" w:eastAsia="仿宋"/>
          <w:b w:val="0"/>
          <w:bCs w:val="0"/>
          <w:color w:val="000000"/>
          <w:sz w:val="28"/>
          <w:szCs w:val="28"/>
        </w:rPr>
      </w:pPr>
      <w:r>
        <w:rPr>
          <w:rFonts w:hint="eastAsia" w:ascii="Times New Roman" w:hAnsi="Times New Roman" w:eastAsia="仿宋"/>
          <w:b w:val="0"/>
          <w:bCs w:val="0"/>
          <w:color w:val="000000"/>
          <w:sz w:val="28"/>
          <w:szCs w:val="28"/>
        </w:rPr>
        <w:t>前</w:t>
      </w:r>
      <w:r>
        <w:rPr>
          <w:rFonts w:ascii="Times New Roman" w:hAnsi="Times New Roman" w:eastAsia="仿宋"/>
          <w:b w:val="0"/>
          <w:bCs w:val="0"/>
          <w:color w:val="000000"/>
          <w:sz w:val="28"/>
          <w:szCs w:val="28"/>
        </w:rPr>
        <w:t xml:space="preserve"> </w:t>
      </w:r>
      <w:r>
        <w:rPr>
          <w:rFonts w:hint="eastAsia" w:ascii="Times New Roman" w:hAnsi="Times New Roman" w:eastAsia="仿宋"/>
          <w:b w:val="0"/>
          <w:bCs w:val="0"/>
          <w:color w:val="000000"/>
          <w:sz w:val="28"/>
          <w:szCs w:val="28"/>
        </w:rPr>
        <w:t>言</w:t>
      </w:r>
    </w:p>
    <w:p>
      <w:pPr>
        <w:spacing w:line="600" w:lineRule="exact"/>
        <w:ind w:firstLine="560"/>
        <w:jc w:val="left"/>
        <w:rPr>
          <w:rFonts w:ascii="Times New Roman" w:hAnsi="Times New Roman" w:eastAsia="仿宋"/>
          <w:b w:val="0"/>
          <w:bCs w:val="0"/>
          <w:color w:val="000000"/>
          <w:sz w:val="28"/>
          <w:szCs w:val="28"/>
        </w:rPr>
      </w:pPr>
      <w:r>
        <w:rPr>
          <w:rFonts w:hint="eastAsia" w:ascii="Times New Roman" w:hAnsi="Times New Roman" w:eastAsia="仿宋"/>
          <w:b w:val="0"/>
          <w:bCs w:val="0"/>
          <w:sz w:val="28"/>
          <w:szCs w:val="28"/>
        </w:rPr>
        <w:t>实施农村人居环境整治，是</w:t>
      </w:r>
      <w:r>
        <w:rPr>
          <w:rFonts w:ascii="Times New Roman" w:hAnsi="Times New Roman" w:eastAsia="仿宋"/>
          <w:b w:val="0"/>
          <w:bCs w:val="0"/>
          <w:sz w:val="28"/>
          <w:szCs w:val="28"/>
        </w:rPr>
        <w:t>“</w:t>
      </w:r>
      <w:r>
        <w:rPr>
          <w:rFonts w:hint="eastAsia" w:ascii="Times New Roman" w:hAnsi="Times New Roman" w:eastAsia="仿宋"/>
          <w:b w:val="0"/>
          <w:bCs w:val="0"/>
          <w:sz w:val="28"/>
          <w:szCs w:val="28"/>
        </w:rPr>
        <w:t>十九</w:t>
      </w:r>
      <w:r>
        <w:rPr>
          <w:rFonts w:ascii="Times New Roman" w:hAnsi="Times New Roman" w:eastAsia="仿宋"/>
          <w:b w:val="0"/>
          <w:bCs w:val="0"/>
          <w:sz w:val="28"/>
          <w:szCs w:val="28"/>
        </w:rPr>
        <w:t>”</w:t>
      </w:r>
      <w:r>
        <w:rPr>
          <w:rFonts w:hint="eastAsia" w:ascii="Times New Roman" w:hAnsi="Times New Roman" w:eastAsia="仿宋"/>
          <w:b w:val="0"/>
          <w:bCs w:val="0"/>
          <w:sz w:val="28"/>
          <w:szCs w:val="28"/>
        </w:rPr>
        <w:t>提出的</w:t>
      </w:r>
      <w:r>
        <w:rPr>
          <w:rFonts w:ascii="Times New Roman" w:hAnsi="Times New Roman" w:eastAsia="仿宋"/>
          <w:b w:val="0"/>
          <w:bCs w:val="0"/>
          <w:sz w:val="28"/>
          <w:szCs w:val="28"/>
        </w:rPr>
        <w:t>“</w:t>
      </w:r>
      <w:r>
        <w:rPr>
          <w:rFonts w:hint="eastAsia" w:ascii="Times New Roman" w:hAnsi="Times New Roman" w:eastAsia="仿宋"/>
          <w:b w:val="0"/>
          <w:bCs w:val="0"/>
          <w:sz w:val="28"/>
          <w:szCs w:val="28"/>
        </w:rPr>
        <w:t>乡村振兴</w:t>
      </w:r>
      <w:r>
        <w:rPr>
          <w:rFonts w:ascii="Times New Roman" w:hAnsi="Times New Roman" w:eastAsia="仿宋"/>
          <w:b w:val="0"/>
          <w:bCs w:val="0"/>
          <w:sz w:val="28"/>
          <w:szCs w:val="28"/>
        </w:rPr>
        <w:t>”</w:t>
      </w:r>
      <w:r>
        <w:rPr>
          <w:rFonts w:hint="eastAsia" w:ascii="Times New Roman" w:hAnsi="Times New Roman" w:eastAsia="仿宋"/>
          <w:b w:val="0"/>
          <w:bCs w:val="0"/>
          <w:sz w:val="28"/>
          <w:szCs w:val="28"/>
        </w:rPr>
        <w:t>战略的重要组成部分，是</w:t>
      </w:r>
      <w:r>
        <w:rPr>
          <w:rFonts w:ascii="Times New Roman" w:hAnsi="Times New Roman" w:eastAsia="仿宋"/>
          <w:b w:val="0"/>
          <w:bCs w:val="0"/>
          <w:sz w:val="28"/>
          <w:szCs w:val="28"/>
        </w:rPr>
        <w:t>“</w:t>
      </w:r>
      <w:r>
        <w:rPr>
          <w:rFonts w:hint="eastAsia" w:ascii="Times New Roman" w:hAnsi="Times New Roman" w:eastAsia="仿宋"/>
          <w:b w:val="0"/>
          <w:bCs w:val="0"/>
          <w:sz w:val="28"/>
          <w:szCs w:val="28"/>
        </w:rPr>
        <w:t>美丽中国</w:t>
      </w:r>
      <w:r>
        <w:rPr>
          <w:rFonts w:ascii="Times New Roman" w:hAnsi="Times New Roman" w:eastAsia="仿宋"/>
          <w:b w:val="0"/>
          <w:bCs w:val="0"/>
          <w:sz w:val="28"/>
          <w:szCs w:val="28"/>
        </w:rPr>
        <w:t>”</w:t>
      </w:r>
      <w:r>
        <w:rPr>
          <w:rFonts w:hint="eastAsia" w:ascii="Times New Roman" w:hAnsi="Times New Roman" w:eastAsia="仿宋"/>
          <w:b w:val="0"/>
          <w:bCs w:val="0"/>
          <w:sz w:val="28"/>
          <w:szCs w:val="28"/>
        </w:rPr>
        <w:t>建设的重要内容，是贯彻省委十一届三次、四次全会和全省乡村振兴大会精神，</w:t>
      </w:r>
      <w:r>
        <w:rPr>
          <w:rFonts w:hint="eastAsia" w:ascii="Times New Roman" w:hAnsi="Times New Roman" w:eastAsia="仿宋"/>
          <w:b w:val="0"/>
          <w:bCs w:val="0"/>
          <w:color w:val="000000"/>
          <w:sz w:val="28"/>
          <w:szCs w:val="28"/>
        </w:rPr>
        <w:t>落实省委农村工作会议暨全省农村人居环境整治推进大会是打好实施乡村振兴战略的第一仗。</w:t>
      </w:r>
    </w:p>
    <w:p>
      <w:pPr>
        <w:spacing w:line="600" w:lineRule="exact"/>
        <w:ind w:firstLine="560"/>
        <w:rPr>
          <w:rFonts w:ascii="Times New Roman" w:hAnsi="Times New Roman" w:eastAsia="仿宋"/>
          <w:b w:val="0"/>
          <w:bCs w:val="0"/>
          <w:sz w:val="28"/>
          <w:szCs w:val="28"/>
        </w:rPr>
      </w:pPr>
      <w:r>
        <w:rPr>
          <w:rFonts w:hint="eastAsia" w:ascii="Times New Roman" w:hAnsi="Times New Roman" w:eastAsia="仿宋"/>
          <w:b w:val="0"/>
          <w:bCs w:val="0"/>
          <w:sz w:val="28"/>
          <w:szCs w:val="28"/>
        </w:rPr>
        <w:t>按照《关于改善农村人居环境的实施意见》（川办发〔</w:t>
      </w:r>
      <w:r>
        <w:rPr>
          <w:rFonts w:ascii="Times New Roman" w:hAnsi="Times New Roman" w:eastAsia="仿宋"/>
          <w:b w:val="0"/>
          <w:bCs w:val="0"/>
          <w:sz w:val="28"/>
          <w:szCs w:val="28"/>
        </w:rPr>
        <w:t>2014</w:t>
      </w:r>
      <w:r>
        <w:rPr>
          <w:rFonts w:hint="eastAsia" w:ascii="Times New Roman" w:hAnsi="Times New Roman" w:eastAsia="仿宋"/>
          <w:b w:val="0"/>
          <w:bCs w:val="0"/>
          <w:sz w:val="28"/>
          <w:szCs w:val="28"/>
        </w:rPr>
        <w:t>〕</w:t>
      </w:r>
      <w:r>
        <w:rPr>
          <w:rFonts w:ascii="Times New Roman" w:hAnsi="Times New Roman" w:eastAsia="仿宋"/>
          <w:b w:val="0"/>
          <w:bCs w:val="0"/>
          <w:sz w:val="28"/>
          <w:szCs w:val="28"/>
        </w:rPr>
        <w:t>58</w:t>
      </w:r>
      <w:r>
        <w:rPr>
          <w:rFonts w:hint="eastAsia" w:ascii="Times New Roman" w:hAnsi="Times New Roman" w:eastAsia="仿宋"/>
          <w:b w:val="0"/>
          <w:bCs w:val="0"/>
          <w:sz w:val="28"/>
          <w:szCs w:val="28"/>
        </w:rPr>
        <w:t>号）、《四川省农村人居环境整治三年行动实施方案》（川委办</w:t>
      </w:r>
      <w:r>
        <w:rPr>
          <w:rFonts w:ascii="Times New Roman" w:hAnsi="Times New Roman" w:eastAsia="仿宋"/>
          <w:b w:val="0"/>
          <w:bCs w:val="0"/>
          <w:sz w:val="28"/>
          <w:szCs w:val="28"/>
        </w:rPr>
        <w:t>[2018]26</w:t>
      </w:r>
      <w:r>
        <w:rPr>
          <w:rFonts w:hint="eastAsia" w:ascii="Times New Roman" w:hAnsi="Times New Roman" w:eastAsia="仿宋"/>
          <w:b w:val="0"/>
          <w:bCs w:val="0"/>
          <w:sz w:val="28"/>
          <w:szCs w:val="28"/>
        </w:rPr>
        <w:t>号）、《</w:t>
      </w:r>
      <w:r>
        <w:rPr>
          <w:rFonts w:ascii="Times New Roman" w:hAnsi="Times New Roman" w:eastAsia="仿宋"/>
          <w:b w:val="0"/>
          <w:bCs w:val="0"/>
          <w:sz w:val="28"/>
          <w:szCs w:val="28"/>
        </w:rPr>
        <w:t>“</w:t>
      </w:r>
      <w:r>
        <w:rPr>
          <w:rFonts w:hint="eastAsia" w:ascii="Times New Roman" w:hAnsi="Times New Roman" w:eastAsia="仿宋"/>
          <w:b w:val="0"/>
          <w:bCs w:val="0"/>
          <w:sz w:val="28"/>
          <w:szCs w:val="28"/>
        </w:rPr>
        <w:t>美丽四川</w:t>
      </w:r>
      <w:r>
        <w:rPr>
          <w:rFonts w:ascii="Times New Roman" w:hAnsi="Times New Roman" w:eastAsia="仿宋"/>
          <w:b w:val="0"/>
          <w:bCs w:val="0"/>
          <w:sz w:val="28"/>
          <w:szCs w:val="28"/>
        </w:rPr>
        <w:t>·</w:t>
      </w:r>
      <w:r>
        <w:rPr>
          <w:rFonts w:hint="eastAsia" w:ascii="Times New Roman" w:hAnsi="Times New Roman" w:eastAsia="仿宋"/>
          <w:b w:val="0"/>
          <w:bCs w:val="0"/>
          <w:sz w:val="28"/>
          <w:szCs w:val="28"/>
        </w:rPr>
        <w:t>宜居乡村</w:t>
      </w:r>
      <w:r>
        <w:rPr>
          <w:rFonts w:ascii="Times New Roman" w:hAnsi="Times New Roman" w:eastAsia="仿宋"/>
          <w:b w:val="0"/>
          <w:bCs w:val="0"/>
          <w:sz w:val="28"/>
          <w:szCs w:val="28"/>
        </w:rPr>
        <w:t>”</w:t>
      </w:r>
      <w:r>
        <w:rPr>
          <w:rFonts w:hint="eastAsia" w:ascii="Times New Roman" w:hAnsi="Times New Roman" w:eastAsia="仿宋"/>
          <w:b w:val="0"/>
          <w:bCs w:val="0"/>
          <w:sz w:val="28"/>
          <w:szCs w:val="28"/>
        </w:rPr>
        <w:t>推进方案</w:t>
      </w:r>
      <w:r>
        <w:rPr>
          <w:rFonts w:ascii="Times New Roman" w:hAnsi="Times New Roman" w:eastAsia="仿宋"/>
          <w:b w:val="0"/>
          <w:bCs w:val="0"/>
          <w:sz w:val="28"/>
          <w:szCs w:val="28"/>
        </w:rPr>
        <w:t>(2018—2020</w:t>
      </w:r>
      <w:r>
        <w:rPr>
          <w:rFonts w:hint="eastAsia" w:ascii="Times New Roman" w:hAnsi="Times New Roman" w:eastAsia="仿宋"/>
          <w:b w:val="0"/>
          <w:bCs w:val="0"/>
          <w:sz w:val="28"/>
          <w:szCs w:val="28"/>
        </w:rPr>
        <w:t>年</w:t>
      </w:r>
      <w:r>
        <w:rPr>
          <w:rFonts w:ascii="Times New Roman" w:hAnsi="Times New Roman" w:eastAsia="仿宋"/>
          <w:b w:val="0"/>
          <w:bCs w:val="0"/>
          <w:sz w:val="28"/>
          <w:szCs w:val="28"/>
        </w:rPr>
        <w:t>)</w:t>
      </w:r>
      <w:r>
        <w:rPr>
          <w:rFonts w:hint="eastAsia" w:ascii="Times New Roman" w:hAnsi="Times New Roman" w:eastAsia="仿宋"/>
          <w:b w:val="0"/>
          <w:bCs w:val="0"/>
          <w:sz w:val="28"/>
          <w:szCs w:val="28"/>
        </w:rPr>
        <w:t>》、《四川省农村人居环境整治村庄清洁行动方案》（川农领办〔</w:t>
      </w:r>
      <w:r>
        <w:rPr>
          <w:rFonts w:ascii="Times New Roman" w:hAnsi="Times New Roman" w:eastAsia="仿宋"/>
          <w:b w:val="0"/>
          <w:bCs w:val="0"/>
          <w:sz w:val="28"/>
          <w:szCs w:val="28"/>
        </w:rPr>
        <w:t>2019</w:t>
      </w:r>
      <w:r>
        <w:rPr>
          <w:rFonts w:hint="eastAsia" w:ascii="Times New Roman" w:hAnsi="Times New Roman" w:eastAsia="仿宋"/>
          <w:b w:val="0"/>
          <w:bCs w:val="0"/>
          <w:sz w:val="28"/>
          <w:szCs w:val="28"/>
        </w:rPr>
        <w:t>〕</w:t>
      </w:r>
      <w:r>
        <w:rPr>
          <w:rFonts w:ascii="Times New Roman" w:hAnsi="Times New Roman" w:eastAsia="仿宋"/>
          <w:b w:val="0"/>
          <w:bCs w:val="0"/>
          <w:sz w:val="28"/>
          <w:szCs w:val="28"/>
        </w:rPr>
        <w:t>9</w:t>
      </w:r>
      <w:r>
        <w:rPr>
          <w:rFonts w:hint="eastAsia" w:ascii="Times New Roman" w:hAnsi="Times New Roman" w:eastAsia="仿宋"/>
          <w:b w:val="0"/>
          <w:bCs w:val="0"/>
          <w:sz w:val="28"/>
          <w:szCs w:val="28"/>
        </w:rPr>
        <w:t>号）和《关于抓紧开展</w:t>
      </w:r>
      <w:r>
        <w:rPr>
          <w:rFonts w:ascii="Times New Roman" w:hAnsi="Times New Roman" w:eastAsia="仿宋"/>
          <w:b w:val="0"/>
          <w:bCs w:val="0"/>
          <w:sz w:val="28"/>
          <w:szCs w:val="28"/>
        </w:rPr>
        <w:t>2019</w:t>
      </w:r>
      <w:r>
        <w:rPr>
          <w:rFonts w:hint="eastAsia" w:ascii="Times New Roman" w:hAnsi="Times New Roman" w:eastAsia="仿宋"/>
          <w:b w:val="0"/>
          <w:bCs w:val="0"/>
          <w:sz w:val="28"/>
          <w:szCs w:val="28"/>
        </w:rPr>
        <w:t>年农村人居环境整治和长江经济带农业面源污染治理专项申报工作的通知》的要求，为了切实做好农村生活垃圾、污水治理和厕所改造建设等（以下简称</w:t>
      </w:r>
      <w:r>
        <w:rPr>
          <w:rFonts w:ascii="Times New Roman" w:hAnsi="Times New Roman" w:eastAsia="仿宋"/>
          <w:b w:val="0"/>
          <w:bCs w:val="0"/>
          <w:sz w:val="28"/>
          <w:szCs w:val="28"/>
        </w:rPr>
        <w:t>“</w:t>
      </w:r>
      <w:r>
        <w:rPr>
          <w:rFonts w:hint="eastAsia" w:ascii="Times New Roman" w:hAnsi="Times New Roman" w:eastAsia="仿宋"/>
          <w:b w:val="0"/>
          <w:bCs w:val="0"/>
          <w:sz w:val="28"/>
          <w:szCs w:val="28"/>
        </w:rPr>
        <w:t>农村人居环境整治</w:t>
      </w:r>
      <w:r>
        <w:rPr>
          <w:rFonts w:ascii="Times New Roman" w:hAnsi="Times New Roman" w:eastAsia="仿宋"/>
          <w:b w:val="0"/>
          <w:bCs w:val="0"/>
          <w:sz w:val="28"/>
          <w:szCs w:val="28"/>
        </w:rPr>
        <w:t>”</w:t>
      </w:r>
      <w:r>
        <w:rPr>
          <w:rFonts w:hint="eastAsia" w:ascii="Times New Roman" w:hAnsi="Times New Roman" w:eastAsia="仿宋"/>
          <w:b w:val="0"/>
          <w:bCs w:val="0"/>
          <w:sz w:val="28"/>
          <w:szCs w:val="28"/>
        </w:rPr>
        <w:t>）任务，县农业农村局会同有关部门，组织编制了《</w:t>
      </w:r>
      <w:r>
        <w:rPr>
          <w:rFonts w:hint="eastAsia" w:ascii="Times New Roman" w:hAnsi="Times New Roman" w:eastAsia="仿宋"/>
          <w:b w:val="0"/>
          <w:bCs w:val="0"/>
          <w:sz w:val="28"/>
          <w:szCs w:val="28"/>
          <w:lang w:val="en-US" w:eastAsia="zh-CN"/>
        </w:rPr>
        <w:t>射洪市</w:t>
      </w:r>
      <w:r>
        <w:rPr>
          <w:rFonts w:hint="eastAsia" w:ascii="Times New Roman" w:hAnsi="Times New Roman" w:eastAsia="仿宋"/>
          <w:b w:val="0"/>
          <w:bCs w:val="0"/>
          <w:sz w:val="28"/>
          <w:szCs w:val="28"/>
        </w:rPr>
        <w:t>农村人居环境整治三年行动方案（</w:t>
      </w:r>
      <w:r>
        <w:rPr>
          <w:rFonts w:ascii="Times New Roman" w:hAnsi="Times New Roman" w:eastAsia="仿宋"/>
          <w:b w:val="0"/>
          <w:bCs w:val="0"/>
          <w:sz w:val="28"/>
          <w:szCs w:val="28"/>
        </w:rPr>
        <w:t>2018-2020</w:t>
      </w:r>
      <w:r>
        <w:rPr>
          <w:rFonts w:hint="eastAsia" w:ascii="Times New Roman" w:hAnsi="Times New Roman" w:eastAsia="仿宋"/>
          <w:b w:val="0"/>
          <w:bCs w:val="0"/>
          <w:sz w:val="28"/>
          <w:szCs w:val="28"/>
        </w:rPr>
        <w:t>）》（以下简称《行动方案》）。</w:t>
      </w:r>
    </w:p>
    <w:p>
      <w:pPr>
        <w:spacing w:line="600" w:lineRule="exact"/>
        <w:ind w:firstLine="560"/>
        <w:rPr>
          <w:rFonts w:ascii="Times New Roman" w:hAnsi="Times New Roman" w:eastAsia="仿宋"/>
          <w:b w:val="0"/>
          <w:bCs w:val="0"/>
          <w:sz w:val="28"/>
          <w:szCs w:val="28"/>
        </w:rPr>
      </w:pPr>
      <w:r>
        <w:rPr>
          <w:rFonts w:hint="eastAsia" w:ascii="Times New Roman" w:hAnsi="Times New Roman" w:eastAsia="仿宋"/>
          <w:b w:val="0"/>
          <w:bCs w:val="0"/>
          <w:sz w:val="28"/>
          <w:szCs w:val="28"/>
        </w:rPr>
        <w:t>《行动方案》制定了</w:t>
      </w:r>
      <w:r>
        <w:rPr>
          <w:rFonts w:ascii="Times New Roman" w:hAnsi="Times New Roman" w:eastAsia="仿宋"/>
          <w:b w:val="0"/>
          <w:bCs w:val="0"/>
          <w:sz w:val="28"/>
          <w:szCs w:val="28"/>
        </w:rPr>
        <w:t>2018-2020</w:t>
      </w:r>
      <w:r>
        <w:rPr>
          <w:rFonts w:hint="eastAsia" w:ascii="Times New Roman" w:hAnsi="Times New Roman" w:eastAsia="仿宋"/>
          <w:b w:val="0"/>
          <w:bCs w:val="0"/>
          <w:sz w:val="28"/>
          <w:szCs w:val="28"/>
        </w:rPr>
        <w:t>年期间</w:t>
      </w:r>
      <w:r>
        <w:rPr>
          <w:rFonts w:hint="eastAsia" w:ascii="Times New Roman" w:hAnsi="Times New Roman" w:eastAsia="仿宋"/>
          <w:b w:val="0"/>
          <w:bCs w:val="0"/>
          <w:sz w:val="28"/>
          <w:szCs w:val="28"/>
          <w:lang w:val="en-US" w:eastAsia="zh-CN"/>
        </w:rPr>
        <w:t>射洪市</w:t>
      </w:r>
      <w:r>
        <w:rPr>
          <w:rFonts w:hint="eastAsia" w:ascii="Times New Roman" w:hAnsi="Times New Roman" w:eastAsia="仿宋"/>
          <w:b w:val="0"/>
          <w:bCs w:val="0"/>
          <w:sz w:val="28"/>
          <w:szCs w:val="28"/>
        </w:rPr>
        <w:t>农村人居环境整治的目标</w:t>
      </w:r>
      <w:r>
        <w:rPr>
          <w:rFonts w:ascii="Times New Roman" w:hAnsi="Times New Roman" w:eastAsia="仿宋"/>
          <w:b w:val="0"/>
          <w:bCs w:val="0"/>
          <w:sz w:val="28"/>
          <w:szCs w:val="28"/>
        </w:rPr>
        <w:t>,</w:t>
      </w:r>
      <w:r>
        <w:rPr>
          <w:rFonts w:hint="eastAsia" w:ascii="Times New Roman" w:hAnsi="Times New Roman" w:eastAsia="仿宋"/>
          <w:b w:val="0"/>
          <w:bCs w:val="0"/>
          <w:sz w:val="28"/>
          <w:szCs w:val="28"/>
        </w:rPr>
        <w:t>分年度计划，阐明了截止</w:t>
      </w:r>
      <w:r>
        <w:rPr>
          <w:rFonts w:ascii="Times New Roman" w:hAnsi="Times New Roman" w:eastAsia="仿宋"/>
          <w:b w:val="0"/>
          <w:bCs w:val="0"/>
          <w:sz w:val="28"/>
          <w:szCs w:val="28"/>
        </w:rPr>
        <w:t>2018</w:t>
      </w:r>
      <w:r>
        <w:rPr>
          <w:rFonts w:hint="eastAsia" w:ascii="Times New Roman" w:hAnsi="Times New Roman" w:eastAsia="仿宋"/>
          <w:b w:val="0"/>
          <w:bCs w:val="0"/>
          <w:sz w:val="28"/>
          <w:szCs w:val="28"/>
        </w:rPr>
        <w:t>年底建设任务完成情况，</w:t>
      </w:r>
      <w:r>
        <w:rPr>
          <w:rFonts w:ascii="Times New Roman" w:hAnsi="Times New Roman" w:eastAsia="仿宋"/>
          <w:b w:val="0"/>
          <w:bCs w:val="0"/>
          <w:sz w:val="28"/>
          <w:szCs w:val="28"/>
        </w:rPr>
        <w:t>2019</w:t>
      </w:r>
      <w:r>
        <w:rPr>
          <w:rFonts w:hint="eastAsia" w:ascii="Times New Roman" w:hAnsi="Times New Roman" w:eastAsia="仿宋"/>
          <w:b w:val="0"/>
          <w:bCs w:val="0"/>
          <w:sz w:val="28"/>
          <w:szCs w:val="28"/>
        </w:rPr>
        <w:t>年和</w:t>
      </w:r>
      <w:r>
        <w:rPr>
          <w:rFonts w:ascii="Times New Roman" w:hAnsi="Times New Roman" w:eastAsia="仿宋"/>
          <w:b w:val="0"/>
          <w:bCs w:val="0"/>
          <w:sz w:val="28"/>
          <w:szCs w:val="28"/>
        </w:rPr>
        <w:t>2020</w:t>
      </w:r>
      <w:r>
        <w:rPr>
          <w:rFonts w:hint="eastAsia" w:ascii="Times New Roman" w:hAnsi="Times New Roman" w:eastAsia="仿宋"/>
          <w:b w:val="0"/>
          <w:bCs w:val="0"/>
          <w:sz w:val="28"/>
          <w:szCs w:val="28"/>
        </w:rPr>
        <w:t>年的建设任务以及每年完成整治任务的村庄和镇（乡）数量、受益农村人口等情况。《行动方案》基准年为</w:t>
      </w:r>
      <w:r>
        <w:rPr>
          <w:rFonts w:ascii="Times New Roman" w:hAnsi="Times New Roman" w:eastAsia="仿宋"/>
          <w:b w:val="0"/>
          <w:bCs w:val="0"/>
          <w:sz w:val="28"/>
          <w:szCs w:val="28"/>
        </w:rPr>
        <w:t>2017</w:t>
      </w:r>
      <w:r>
        <w:rPr>
          <w:rFonts w:hint="eastAsia" w:ascii="Times New Roman" w:hAnsi="Times New Roman" w:eastAsia="仿宋"/>
          <w:b w:val="0"/>
          <w:bCs w:val="0"/>
          <w:sz w:val="28"/>
          <w:szCs w:val="28"/>
        </w:rPr>
        <w:t>年，实施年限为</w:t>
      </w:r>
      <w:r>
        <w:rPr>
          <w:rFonts w:ascii="Times New Roman" w:hAnsi="Times New Roman" w:eastAsia="仿宋"/>
          <w:b w:val="0"/>
          <w:bCs w:val="0"/>
          <w:sz w:val="28"/>
          <w:szCs w:val="28"/>
        </w:rPr>
        <w:t>2018-2020</w:t>
      </w:r>
      <w:r>
        <w:rPr>
          <w:rFonts w:hint="eastAsia" w:ascii="Times New Roman" w:hAnsi="Times New Roman" w:eastAsia="仿宋"/>
          <w:b w:val="0"/>
          <w:bCs w:val="0"/>
          <w:sz w:val="28"/>
          <w:szCs w:val="28"/>
        </w:rPr>
        <w:t>年。</w:t>
      </w:r>
    </w:p>
    <w:p>
      <w:pPr>
        <w:spacing w:line="600" w:lineRule="exact"/>
        <w:ind w:firstLine="0" w:firstLineChars="0"/>
        <w:rPr>
          <w:rFonts w:ascii="Times New Roman" w:hAnsi="Times New Roman" w:eastAsia="仿宋"/>
          <w:b w:val="0"/>
          <w:bCs w:val="0"/>
          <w:sz w:val="28"/>
          <w:szCs w:val="28"/>
        </w:rPr>
      </w:pPr>
    </w:p>
    <w:p>
      <w:pPr>
        <w:spacing w:line="600" w:lineRule="exact"/>
        <w:ind w:firstLine="0" w:firstLineChars="0"/>
        <w:jc w:val="center"/>
        <w:rPr>
          <w:rFonts w:ascii="Times New Roman" w:hAnsi="Times New Roman" w:eastAsia="仿宋"/>
          <w:b w:val="0"/>
          <w:bCs w:val="0"/>
          <w:sz w:val="28"/>
          <w:szCs w:val="28"/>
        </w:rPr>
        <w:sectPr>
          <w:headerReference r:id="rId7" w:type="first"/>
          <w:footerReference r:id="rId10" w:type="first"/>
          <w:headerReference r:id="rId5" w:type="default"/>
          <w:footerReference r:id="rId8" w:type="default"/>
          <w:headerReference r:id="rId6" w:type="even"/>
          <w:footerReference r:id="rId9" w:type="even"/>
          <w:pgSz w:w="11906" w:h="16838"/>
          <w:pgMar w:top="1440" w:right="1800" w:bottom="1440" w:left="1800" w:header="851" w:footer="992" w:gutter="0"/>
          <w:pgNumType w:fmt="upperRoman" w:start="1"/>
          <w:cols w:space="425" w:num="1"/>
          <w:docGrid w:type="lines" w:linePitch="312" w:charSpace="0"/>
        </w:sectPr>
      </w:pPr>
    </w:p>
    <w:p>
      <w:pPr>
        <w:spacing w:line="600" w:lineRule="exact"/>
        <w:ind w:firstLine="0" w:firstLineChars="0"/>
        <w:jc w:val="center"/>
        <w:rPr>
          <w:rFonts w:hint="eastAsia" w:ascii="Times New Roman" w:hAnsi="Times New Roman" w:eastAsia="仿宋"/>
          <w:b w:val="0"/>
          <w:bCs w:val="0"/>
          <w:sz w:val="28"/>
          <w:szCs w:val="28"/>
        </w:rPr>
      </w:pPr>
      <w:r>
        <w:rPr>
          <w:rFonts w:hint="eastAsia" w:ascii="Times New Roman" w:hAnsi="Times New Roman" w:eastAsia="仿宋"/>
          <w:b w:val="0"/>
          <w:bCs w:val="0"/>
          <w:sz w:val="28"/>
          <w:szCs w:val="28"/>
        </w:rPr>
        <w:t>目</w:t>
      </w:r>
      <w:r>
        <w:rPr>
          <w:rFonts w:ascii="Times New Roman" w:hAnsi="Times New Roman" w:eastAsia="仿宋"/>
          <w:b w:val="0"/>
          <w:bCs w:val="0"/>
          <w:sz w:val="28"/>
          <w:szCs w:val="28"/>
        </w:rPr>
        <w:t xml:space="preserve"> </w:t>
      </w:r>
      <w:r>
        <w:rPr>
          <w:rFonts w:hint="eastAsia" w:ascii="Times New Roman" w:hAnsi="Times New Roman" w:eastAsia="仿宋"/>
          <w:b w:val="0"/>
          <w:bCs w:val="0"/>
          <w:sz w:val="28"/>
          <w:szCs w:val="28"/>
        </w:rPr>
        <w:t>录</w:t>
      </w:r>
    </w:p>
    <w:p>
      <w:pPr>
        <w:spacing w:line="600" w:lineRule="exact"/>
        <w:ind w:firstLine="0" w:firstLineChars="0"/>
        <w:jc w:val="center"/>
        <w:rPr>
          <w:rFonts w:hint="eastAsia" w:ascii="Times New Roman" w:hAnsi="Times New Roman" w:eastAsia="仿宋"/>
          <w:b w:val="0"/>
          <w:bCs w:val="0"/>
          <w:sz w:val="28"/>
          <w:szCs w:val="28"/>
        </w:rPr>
      </w:pPr>
    </w:p>
    <w:p>
      <w:pPr>
        <w:spacing w:line="600" w:lineRule="exact"/>
        <w:ind w:firstLine="0" w:firstLineChars="0"/>
        <w:jc w:val="center"/>
        <w:rPr>
          <w:rFonts w:hint="eastAsia" w:ascii="Times New Roman" w:hAnsi="Times New Roman" w:eastAsia="仿宋"/>
          <w:b w:val="0"/>
          <w:bCs w:val="0"/>
          <w:sz w:val="28"/>
          <w:szCs w:val="28"/>
        </w:rPr>
      </w:pPr>
    </w:p>
    <w:p>
      <w:pPr>
        <w:spacing w:line="600" w:lineRule="exact"/>
        <w:ind w:firstLine="0" w:firstLineChars="0"/>
        <w:jc w:val="both"/>
        <w:rPr>
          <w:rFonts w:hint="eastAsia" w:ascii="Times New Roman" w:hAnsi="Times New Roman" w:eastAsia="仿宋"/>
          <w:b w:val="0"/>
          <w:bCs w:val="0"/>
          <w:color w:val="000000" w:themeColor="text1"/>
          <w:sz w:val="28"/>
          <w:szCs w:val="28"/>
          <w:u w:val="none"/>
          <w14:textFill>
            <w14:solidFill>
              <w14:schemeClr w14:val="tx1"/>
            </w14:solidFill>
          </w14:textFill>
        </w:rPr>
      </w:pPr>
    </w:p>
    <w:p>
      <w:pPr>
        <w:pStyle w:val="14"/>
        <w:tabs>
          <w:tab w:val="right" w:leader="dot" w:pos="8396"/>
        </w:tabs>
        <w:spacing w:line="360" w:lineRule="exact"/>
        <w:rPr>
          <w:rFonts w:ascii="Times New Roman" w:hAnsi="Times New Roman" w:eastAsia="仿宋"/>
          <w:b w:val="0"/>
          <w:bCs w:val="0"/>
          <w:color w:val="000000" w:themeColor="text1"/>
          <w:sz w:val="28"/>
          <w:szCs w:val="28"/>
          <w:u w:val="none"/>
          <w14:textFill>
            <w14:solidFill>
              <w14:schemeClr w14:val="tx1"/>
            </w14:solidFill>
          </w14:textFill>
        </w:rPr>
      </w:pPr>
      <w:r>
        <w:rPr>
          <w:rStyle w:val="26"/>
          <w:rFonts w:ascii="Times New Roman" w:hAnsi="Times New Roman" w:eastAsia="仿宋"/>
          <w:b w:val="0"/>
          <w:bCs w:val="0"/>
          <w:color w:val="000000" w:themeColor="text1"/>
          <w:sz w:val="28"/>
          <w:szCs w:val="28"/>
          <w:u w:val="none"/>
          <w14:textFill>
            <w14:solidFill>
              <w14:schemeClr w14:val="tx1"/>
            </w14:solidFill>
          </w14:textFill>
        </w:rPr>
        <w:fldChar w:fldCharType="begin"/>
      </w:r>
      <w:r>
        <w:rPr>
          <w:rStyle w:val="26"/>
          <w:rFonts w:ascii="Times New Roman" w:hAnsi="Times New Roman" w:eastAsia="仿宋"/>
          <w:b w:val="0"/>
          <w:bCs w:val="0"/>
          <w:color w:val="000000" w:themeColor="text1"/>
          <w:sz w:val="28"/>
          <w:szCs w:val="28"/>
          <w:u w:val="none"/>
          <w14:textFill>
            <w14:solidFill>
              <w14:schemeClr w14:val="tx1"/>
            </w14:solidFill>
          </w14:textFill>
        </w:rPr>
        <w:instrText xml:space="preserve"> TOC \o "1-2" \h \z \u </w:instrText>
      </w:r>
      <w:r>
        <w:rPr>
          <w:rStyle w:val="26"/>
          <w:rFonts w:ascii="Times New Roman" w:hAnsi="Times New Roman" w:eastAsia="仿宋"/>
          <w:b w:val="0"/>
          <w:bCs w:val="0"/>
          <w:color w:val="000000" w:themeColor="text1"/>
          <w:sz w:val="28"/>
          <w:szCs w:val="28"/>
          <w:u w:val="none"/>
          <w14:textFill>
            <w14:solidFill>
              <w14:schemeClr w14:val="tx1"/>
            </w14:solidFill>
          </w14:textFill>
        </w:rPr>
        <w:fldChar w:fldCharType="separate"/>
      </w:r>
      <w:r>
        <w:rPr>
          <w:b w:val="0"/>
          <w:bCs w:val="0"/>
          <w:color w:val="000000" w:themeColor="text1"/>
          <w:sz w:val="28"/>
          <w:szCs w:val="28"/>
          <w:u w:val="none"/>
          <w14:textFill>
            <w14:solidFill>
              <w14:schemeClr w14:val="tx1"/>
            </w14:solidFill>
          </w14:textFill>
        </w:rPr>
        <w:fldChar w:fldCharType="begin"/>
      </w:r>
      <w:r>
        <w:rPr>
          <w:b w:val="0"/>
          <w:bCs w:val="0"/>
          <w:color w:val="000000" w:themeColor="text1"/>
          <w:sz w:val="28"/>
          <w:szCs w:val="28"/>
          <w:u w:val="none"/>
          <w14:textFill>
            <w14:solidFill>
              <w14:schemeClr w14:val="tx1"/>
            </w14:solidFill>
          </w14:textFill>
        </w:rPr>
        <w:instrText xml:space="preserve"> HYPERLINK \l "_Toc3884544" </w:instrText>
      </w:r>
      <w:r>
        <w:rPr>
          <w:b w:val="0"/>
          <w:bCs w:val="0"/>
          <w:color w:val="000000" w:themeColor="text1"/>
          <w:sz w:val="28"/>
          <w:szCs w:val="28"/>
          <w:u w:val="none"/>
          <w14:textFill>
            <w14:solidFill>
              <w14:schemeClr w14:val="tx1"/>
            </w14:solidFill>
          </w14:textFill>
        </w:rPr>
        <w:fldChar w:fldCharType="separate"/>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第一章</w:t>
      </w:r>
      <w:r>
        <w:rPr>
          <w:rStyle w:val="26"/>
          <w:rFonts w:ascii="Times New Roman" w:hAnsi="Times New Roman" w:eastAsia="仿宋"/>
          <w:b w:val="0"/>
          <w:bCs w:val="0"/>
          <w:color w:val="000000" w:themeColor="text1"/>
          <w:sz w:val="28"/>
          <w:szCs w:val="28"/>
          <w:u w:val="none"/>
          <w14:textFill>
            <w14:solidFill>
              <w14:schemeClr w14:val="tx1"/>
            </w14:solidFill>
          </w14:textFill>
        </w:rPr>
        <w:t xml:space="preserve"> </w:t>
      </w:r>
      <w:r>
        <w:rPr>
          <w:rFonts w:hint="eastAsia" w:ascii="方正小标宋简体" w:hAnsi="方正小标宋简体" w:eastAsia="方正小标宋简体" w:cs="方正小标宋简体"/>
          <w:b w:val="0"/>
          <w:bCs w:val="0"/>
          <w:sz w:val="28"/>
          <w:szCs w:val="28"/>
          <w:lang w:val="zh-CN" w:eastAsia="zh-CN"/>
        </w:rPr>
        <w:t>射洪</w:t>
      </w:r>
      <w:r>
        <w:rPr>
          <w:rFonts w:hint="eastAsia" w:ascii="方正小标宋简体" w:hAnsi="方正小标宋简体" w:eastAsia="方正小标宋简体" w:cs="方正小标宋简体"/>
          <w:b w:val="0"/>
          <w:bCs w:val="0"/>
          <w:sz w:val="28"/>
          <w:szCs w:val="28"/>
          <w:lang w:val="en-US" w:eastAsia="zh-CN"/>
        </w:rPr>
        <w:t>市</w:t>
      </w:r>
      <w:r>
        <w:rPr>
          <w:rFonts w:hint="eastAsia" w:ascii="方正小标宋简体" w:hAnsi="方正小标宋简体" w:eastAsia="方正小标宋简体" w:cs="方正小标宋简体"/>
          <w:b w:val="0"/>
          <w:bCs w:val="0"/>
          <w:sz w:val="28"/>
          <w:szCs w:val="28"/>
          <w:lang w:val="zh-CN" w:eastAsia="zh-CN"/>
        </w:rPr>
        <w:t>农村人居环境整治“三大革命”工作方案</w:t>
      </w:r>
      <w:r>
        <w:rPr>
          <w:rFonts w:ascii="Times New Roman" w:hAnsi="Times New Roman" w:eastAsia="仿宋"/>
          <w:b w:val="0"/>
          <w:bCs w:val="0"/>
          <w:color w:val="000000" w:themeColor="text1"/>
          <w:sz w:val="28"/>
          <w:szCs w:val="28"/>
          <w:u w:val="none"/>
          <w14:textFill>
            <w14:solidFill>
              <w14:schemeClr w14:val="tx1"/>
            </w14:solidFill>
          </w14:textFill>
        </w:rPr>
        <w:tab/>
      </w:r>
      <w:r>
        <w:rPr>
          <w:rFonts w:ascii="Times New Roman" w:hAnsi="Times New Roman" w:eastAsia="仿宋"/>
          <w:b w:val="0"/>
          <w:bCs w:val="0"/>
          <w:color w:val="000000" w:themeColor="text1"/>
          <w:sz w:val="28"/>
          <w:szCs w:val="28"/>
          <w:u w:val="none"/>
          <w14:textFill>
            <w14:solidFill>
              <w14:schemeClr w14:val="tx1"/>
            </w14:solidFill>
          </w14:textFill>
        </w:rPr>
        <w:fldChar w:fldCharType="begin"/>
      </w:r>
      <w:r>
        <w:rPr>
          <w:rFonts w:ascii="Times New Roman" w:hAnsi="Times New Roman" w:eastAsia="仿宋"/>
          <w:b w:val="0"/>
          <w:bCs w:val="0"/>
          <w:color w:val="000000" w:themeColor="text1"/>
          <w:sz w:val="28"/>
          <w:szCs w:val="28"/>
          <w:u w:val="none"/>
          <w14:textFill>
            <w14:solidFill>
              <w14:schemeClr w14:val="tx1"/>
            </w14:solidFill>
          </w14:textFill>
        </w:rPr>
        <w:instrText xml:space="preserve"> PAGEREF _Toc3884544 \h </w:instrText>
      </w:r>
      <w:r>
        <w:rPr>
          <w:rFonts w:ascii="Times New Roman" w:hAnsi="Times New Roman" w:eastAsia="仿宋"/>
          <w:b w:val="0"/>
          <w:bCs w:val="0"/>
          <w:color w:val="000000" w:themeColor="text1"/>
          <w:sz w:val="28"/>
          <w:szCs w:val="28"/>
          <w:u w:val="none"/>
          <w14:textFill>
            <w14:solidFill>
              <w14:schemeClr w14:val="tx1"/>
            </w14:solidFill>
          </w14:textFill>
        </w:rPr>
        <w:fldChar w:fldCharType="separate"/>
      </w:r>
      <w:r>
        <w:rPr>
          <w:rFonts w:ascii="Times New Roman" w:hAnsi="Times New Roman" w:eastAsia="仿宋"/>
          <w:b w:val="0"/>
          <w:bCs w:val="0"/>
          <w:color w:val="000000" w:themeColor="text1"/>
          <w:sz w:val="28"/>
          <w:szCs w:val="28"/>
          <w:u w:val="none"/>
          <w14:textFill>
            <w14:solidFill>
              <w14:schemeClr w14:val="tx1"/>
            </w14:solidFill>
          </w14:textFill>
        </w:rPr>
        <w:t>1</w:t>
      </w:r>
      <w:r>
        <w:rPr>
          <w:rFonts w:ascii="Times New Roman" w:hAnsi="Times New Roman" w:eastAsia="仿宋"/>
          <w:b w:val="0"/>
          <w:bCs w:val="0"/>
          <w:color w:val="000000" w:themeColor="text1"/>
          <w:sz w:val="28"/>
          <w:szCs w:val="28"/>
          <w:u w:val="none"/>
          <w14:textFill>
            <w14:solidFill>
              <w14:schemeClr w14:val="tx1"/>
            </w14:solidFill>
          </w14:textFill>
        </w:rPr>
        <w:fldChar w:fldCharType="end"/>
      </w:r>
      <w:r>
        <w:rPr>
          <w:rFonts w:ascii="Times New Roman" w:hAnsi="Times New Roman" w:eastAsia="仿宋"/>
          <w:b w:val="0"/>
          <w:bCs w:val="0"/>
          <w:color w:val="000000" w:themeColor="text1"/>
          <w:sz w:val="28"/>
          <w:szCs w:val="28"/>
          <w:u w:val="none"/>
          <w14:textFill>
            <w14:solidFill>
              <w14:schemeClr w14:val="tx1"/>
            </w14:solidFill>
          </w14:textFill>
        </w:rPr>
        <w:fldChar w:fldCharType="end"/>
      </w:r>
    </w:p>
    <w:p>
      <w:pPr>
        <w:ind w:left="0" w:leftChars="0" w:firstLine="0" w:firstLineChars="0"/>
        <w:rPr>
          <w:color w:val="000000" w:themeColor="text1"/>
          <w:u w:val="none"/>
          <w14:textFill>
            <w14:solidFill>
              <w14:schemeClr w14:val="tx1"/>
            </w14:solidFill>
          </w14:textFill>
        </w:rPr>
      </w:pPr>
    </w:p>
    <w:p>
      <w:pPr>
        <w:pStyle w:val="14"/>
        <w:tabs>
          <w:tab w:val="right" w:leader="dot" w:pos="8396"/>
        </w:tabs>
        <w:spacing w:line="360" w:lineRule="exact"/>
        <w:rPr>
          <w:color w:val="000000" w:themeColor="text1"/>
          <w:u w:val="none"/>
          <w14:textFill>
            <w14:solidFill>
              <w14:schemeClr w14:val="tx1"/>
            </w14:solidFill>
          </w14:textFill>
        </w:rPr>
      </w:pPr>
      <w:r>
        <w:rPr>
          <w:b w:val="0"/>
          <w:bCs w:val="0"/>
          <w:color w:val="000000" w:themeColor="text1"/>
          <w:sz w:val="28"/>
          <w:szCs w:val="28"/>
          <w:u w:val="none"/>
          <w14:textFill>
            <w14:solidFill>
              <w14:schemeClr w14:val="tx1"/>
            </w14:solidFill>
          </w14:textFill>
        </w:rPr>
        <w:fldChar w:fldCharType="begin"/>
      </w:r>
      <w:r>
        <w:rPr>
          <w:b w:val="0"/>
          <w:bCs w:val="0"/>
          <w:color w:val="000000" w:themeColor="text1"/>
          <w:sz w:val="28"/>
          <w:szCs w:val="28"/>
          <w:u w:val="none"/>
          <w14:textFill>
            <w14:solidFill>
              <w14:schemeClr w14:val="tx1"/>
            </w14:solidFill>
          </w14:textFill>
        </w:rPr>
        <w:instrText xml:space="preserve"> HYPERLINK \l "_Toc3884549" </w:instrText>
      </w:r>
      <w:r>
        <w:rPr>
          <w:b w:val="0"/>
          <w:bCs w:val="0"/>
          <w:color w:val="000000" w:themeColor="text1"/>
          <w:sz w:val="28"/>
          <w:szCs w:val="28"/>
          <w:u w:val="none"/>
          <w14:textFill>
            <w14:solidFill>
              <w14:schemeClr w14:val="tx1"/>
            </w14:solidFill>
          </w14:textFill>
        </w:rPr>
        <w:fldChar w:fldCharType="separate"/>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第二章</w:t>
      </w:r>
      <w:r>
        <w:rPr>
          <w:rStyle w:val="26"/>
          <w:rFonts w:ascii="Times New Roman" w:hAnsi="Times New Roman" w:eastAsia="仿宋"/>
          <w:b w:val="0"/>
          <w:bCs w:val="0"/>
          <w:color w:val="000000" w:themeColor="text1"/>
          <w:sz w:val="28"/>
          <w:szCs w:val="28"/>
          <w:u w:val="none"/>
          <w14:textFill>
            <w14:solidFill>
              <w14:schemeClr w14:val="tx1"/>
            </w14:solidFill>
          </w14:textFill>
        </w:rPr>
        <w:t xml:space="preserve"> </w:t>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发展环境分析</w:t>
      </w:r>
      <w:r>
        <w:rPr>
          <w:rFonts w:ascii="Times New Roman" w:hAnsi="Times New Roman" w:eastAsia="仿宋"/>
          <w:b w:val="0"/>
          <w:bCs w:val="0"/>
          <w:color w:val="000000" w:themeColor="text1"/>
          <w:sz w:val="28"/>
          <w:szCs w:val="28"/>
          <w:u w:val="none"/>
          <w14:textFill>
            <w14:solidFill>
              <w14:schemeClr w14:val="tx1"/>
            </w14:solidFill>
          </w14:textFill>
        </w:rPr>
        <w:tab/>
      </w:r>
      <w:r>
        <w:rPr>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13</w:t>
      </w:r>
      <w:r>
        <w:rPr>
          <w:rFonts w:ascii="Times New Roman" w:hAnsi="Times New Roman" w:eastAsia="仿宋"/>
          <w:b w:val="0"/>
          <w:bCs w:val="0"/>
          <w:color w:val="000000" w:themeColor="text1"/>
          <w:sz w:val="28"/>
          <w:szCs w:val="28"/>
          <w:u w:val="none"/>
          <w14:textFill>
            <w14:solidFill>
              <w14:schemeClr w14:val="tx1"/>
            </w14:solidFill>
          </w14:textFill>
        </w:rPr>
        <w:fldChar w:fldCharType="end"/>
      </w:r>
    </w:p>
    <w:p>
      <w:pPr>
        <w:rPr>
          <w:color w:val="000000" w:themeColor="text1"/>
          <w:u w:val="none"/>
          <w14:textFill>
            <w14:solidFill>
              <w14:schemeClr w14:val="tx1"/>
            </w14:solidFill>
          </w14:textFill>
        </w:rPr>
      </w:pPr>
    </w:p>
    <w:p>
      <w:pPr>
        <w:pStyle w:val="14"/>
        <w:tabs>
          <w:tab w:val="right" w:leader="dot" w:pos="8396"/>
        </w:tabs>
        <w:spacing w:line="360" w:lineRule="exact"/>
        <w:rPr>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pPr>
      <w:r>
        <w:rPr>
          <w:b w:val="0"/>
          <w:bCs w:val="0"/>
          <w:color w:val="000000" w:themeColor="text1"/>
          <w:sz w:val="28"/>
          <w:szCs w:val="28"/>
          <w:u w:val="none"/>
          <w14:textFill>
            <w14:solidFill>
              <w14:schemeClr w14:val="tx1"/>
            </w14:solidFill>
          </w14:textFill>
        </w:rPr>
        <w:fldChar w:fldCharType="begin"/>
      </w:r>
      <w:r>
        <w:rPr>
          <w:b w:val="0"/>
          <w:bCs w:val="0"/>
          <w:color w:val="000000" w:themeColor="text1"/>
          <w:sz w:val="28"/>
          <w:szCs w:val="28"/>
          <w:u w:val="none"/>
          <w14:textFill>
            <w14:solidFill>
              <w14:schemeClr w14:val="tx1"/>
            </w14:solidFill>
          </w14:textFill>
        </w:rPr>
        <w:instrText xml:space="preserve"> HYPERLINK \l "_Toc3884553" </w:instrText>
      </w:r>
      <w:r>
        <w:rPr>
          <w:b w:val="0"/>
          <w:bCs w:val="0"/>
          <w:color w:val="000000" w:themeColor="text1"/>
          <w:sz w:val="28"/>
          <w:szCs w:val="28"/>
          <w:u w:val="none"/>
          <w14:textFill>
            <w14:solidFill>
              <w14:schemeClr w14:val="tx1"/>
            </w14:solidFill>
          </w14:textFill>
        </w:rPr>
        <w:fldChar w:fldCharType="separate"/>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第三章</w:t>
      </w:r>
      <w:r>
        <w:rPr>
          <w:rStyle w:val="26"/>
          <w:rFonts w:ascii="Times New Roman" w:hAnsi="Times New Roman" w:eastAsia="仿宋"/>
          <w:b w:val="0"/>
          <w:bCs w:val="0"/>
          <w:color w:val="000000" w:themeColor="text1"/>
          <w:sz w:val="28"/>
          <w:szCs w:val="28"/>
          <w:u w:val="none"/>
          <w14:textFill>
            <w14:solidFill>
              <w14:schemeClr w14:val="tx1"/>
            </w14:solidFill>
          </w14:textFill>
        </w:rPr>
        <w:t xml:space="preserve"> </w:t>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总体要求</w:t>
      </w:r>
      <w:r>
        <w:rPr>
          <w:rFonts w:ascii="Times New Roman" w:hAnsi="Times New Roman" w:eastAsia="仿宋"/>
          <w:b w:val="0"/>
          <w:bCs w:val="0"/>
          <w:color w:val="000000" w:themeColor="text1"/>
          <w:sz w:val="28"/>
          <w:szCs w:val="28"/>
          <w:u w:val="none"/>
          <w14:textFill>
            <w14:solidFill>
              <w14:schemeClr w14:val="tx1"/>
            </w14:solidFill>
          </w14:textFill>
        </w:rPr>
        <w:tab/>
      </w:r>
      <w:r>
        <w:rPr>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1</w:t>
      </w:r>
      <w:r>
        <w:rPr>
          <w:rFonts w:ascii="Times New Roman" w:hAnsi="Times New Roman" w:eastAsia="仿宋"/>
          <w:b w:val="0"/>
          <w:bCs w:val="0"/>
          <w:color w:val="000000" w:themeColor="text1"/>
          <w:sz w:val="28"/>
          <w:szCs w:val="28"/>
          <w:u w:val="none"/>
          <w14:textFill>
            <w14:solidFill>
              <w14:schemeClr w14:val="tx1"/>
            </w14:solidFill>
          </w14:textFill>
        </w:rPr>
        <w:fldChar w:fldCharType="end"/>
      </w:r>
      <w:r>
        <w:rPr>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7</w:t>
      </w:r>
    </w:p>
    <w:p>
      <w:pPr>
        <w:ind w:left="0" w:leftChars="0" w:firstLine="0" w:firstLineChars="0"/>
        <w:rPr>
          <w:color w:val="000000" w:themeColor="text1"/>
          <w:u w:val="none"/>
          <w14:textFill>
            <w14:solidFill>
              <w14:schemeClr w14:val="tx1"/>
            </w14:solidFill>
          </w14:textFill>
        </w:rPr>
      </w:pPr>
    </w:p>
    <w:p>
      <w:pPr>
        <w:pStyle w:val="14"/>
        <w:tabs>
          <w:tab w:val="right" w:leader="dot" w:pos="8396"/>
        </w:tabs>
        <w:spacing w:line="360" w:lineRule="exact"/>
        <w:rPr>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pPr>
      <w:r>
        <w:rPr>
          <w:b w:val="0"/>
          <w:bCs w:val="0"/>
          <w:color w:val="000000" w:themeColor="text1"/>
          <w:sz w:val="28"/>
          <w:szCs w:val="28"/>
          <w:u w:val="none"/>
          <w14:textFill>
            <w14:solidFill>
              <w14:schemeClr w14:val="tx1"/>
            </w14:solidFill>
          </w14:textFill>
        </w:rPr>
        <w:fldChar w:fldCharType="begin"/>
      </w:r>
      <w:r>
        <w:rPr>
          <w:b w:val="0"/>
          <w:bCs w:val="0"/>
          <w:color w:val="000000" w:themeColor="text1"/>
          <w:sz w:val="28"/>
          <w:szCs w:val="28"/>
          <w:u w:val="none"/>
          <w14:textFill>
            <w14:solidFill>
              <w14:schemeClr w14:val="tx1"/>
            </w14:solidFill>
          </w14:textFill>
        </w:rPr>
        <w:instrText xml:space="preserve"> HYPERLINK \l "_Toc3884560" </w:instrText>
      </w:r>
      <w:r>
        <w:rPr>
          <w:b w:val="0"/>
          <w:bCs w:val="0"/>
          <w:color w:val="000000" w:themeColor="text1"/>
          <w:sz w:val="28"/>
          <w:szCs w:val="28"/>
          <w:u w:val="none"/>
          <w14:textFill>
            <w14:solidFill>
              <w14:schemeClr w14:val="tx1"/>
            </w14:solidFill>
          </w14:textFill>
        </w:rPr>
        <w:fldChar w:fldCharType="separate"/>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第</w:t>
      </w:r>
      <w:r>
        <w:rPr>
          <w:rStyle w:val="26"/>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四</w:t>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章</w:t>
      </w:r>
      <w:r>
        <w:rPr>
          <w:rStyle w:val="26"/>
          <w:rFonts w:ascii="Times New Roman" w:hAnsi="Times New Roman" w:eastAsia="仿宋"/>
          <w:b w:val="0"/>
          <w:bCs w:val="0"/>
          <w:color w:val="000000" w:themeColor="text1"/>
          <w:sz w:val="28"/>
          <w:szCs w:val="28"/>
          <w:u w:val="none"/>
          <w14:textFill>
            <w14:solidFill>
              <w14:schemeClr w14:val="tx1"/>
            </w14:solidFill>
          </w14:textFill>
        </w:rPr>
        <w:t xml:space="preserve"> </w:t>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进度计划</w:t>
      </w:r>
      <w:r>
        <w:rPr>
          <w:rFonts w:ascii="Times New Roman" w:hAnsi="Times New Roman" w:eastAsia="仿宋"/>
          <w:b w:val="0"/>
          <w:bCs w:val="0"/>
          <w:color w:val="000000" w:themeColor="text1"/>
          <w:sz w:val="28"/>
          <w:szCs w:val="28"/>
          <w:u w:val="none"/>
          <w14:textFill>
            <w14:solidFill>
              <w14:schemeClr w14:val="tx1"/>
            </w14:solidFill>
          </w14:textFill>
        </w:rPr>
        <w:tab/>
      </w:r>
      <w:r>
        <w:rPr>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2</w:t>
      </w:r>
      <w:r>
        <w:rPr>
          <w:rFonts w:ascii="Times New Roman" w:hAnsi="Times New Roman" w:eastAsia="仿宋"/>
          <w:b w:val="0"/>
          <w:bCs w:val="0"/>
          <w:color w:val="000000" w:themeColor="text1"/>
          <w:sz w:val="28"/>
          <w:szCs w:val="28"/>
          <w:u w:val="none"/>
          <w14:textFill>
            <w14:solidFill>
              <w14:schemeClr w14:val="tx1"/>
            </w14:solidFill>
          </w14:textFill>
        </w:rPr>
        <w:fldChar w:fldCharType="end"/>
      </w:r>
      <w:r>
        <w:rPr>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0</w:t>
      </w:r>
    </w:p>
    <w:p>
      <w:pPr>
        <w:ind w:left="0" w:leftChars="0" w:firstLine="0" w:firstLineChars="0"/>
        <w:rPr>
          <w:color w:val="000000" w:themeColor="text1"/>
          <w:u w:val="none"/>
          <w14:textFill>
            <w14:solidFill>
              <w14:schemeClr w14:val="tx1"/>
            </w14:solidFill>
          </w14:textFill>
        </w:rPr>
      </w:pPr>
    </w:p>
    <w:p>
      <w:pPr>
        <w:pStyle w:val="14"/>
        <w:tabs>
          <w:tab w:val="right" w:leader="dot" w:pos="8396"/>
        </w:tabs>
        <w:spacing w:line="360" w:lineRule="exact"/>
        <w:rPr>
          <w:rFonts w:hint="default" w:ascii="Times New Roman" w:hAnsi="Times New Roman" w:eastAsia="仿宋"/>
          <w:b w:val="0"/>
          <w:bCs w:val="0"/>
          <w:color w:val="000000" w:themeColor="text1"/>
          <w:sz w:val="28"/>
          <w:szCs w:val="28"/>
          <w:u w:val="none"/>
          <w:lang w:val="en-US" w:eastAsia="zh-CN"/>
          <w14:textFill>
            <w14:solidFill>
              <w14:schemeClr w14:val="tx1"/>
            </w14:solidFill>
          </w14:textFill>
        </w:rPr>
      </w:pPr>
      <w:r>
        <w:rPr>
          <w:b w:val="0"/>
          <w:bCs w:val="0"/>
          <w:color w:val="000000" w:themeColor="text1"/>
          <w:sz w:val="28"/>
          <w:szCs w:val="28"/>
          <w:u w:val="none"/>
          <w14:textFill>
            <w14:solidFill>
              <w14:schemeClr w14:val="tx1"/>
            </w14:solidFill>
          </w14:textFill>
        </w:rPr>
        <w:fldChar w:fldCharType="begin"/>
      </w:r>
      <w:r>
        <w:rPr>
          <w:b w:val="0"/>
          <w:bCs w:val="0"/>
          <w:color w:val="000000" w:themeColor="text1"/>
          <w:sz w:val="28"/>
          <w:szCs w:val="28"/>
          <w:u w:val="none"/>
          <w14:textFill>
            <w14:solidFill>
              <w14:schemeClr w14:val="tx1"/>
            </w14:solidFill>
          </w14:textFill>
        </w:rPr>
        <w:instrText xml:space="preserve"> HYPERLINK \l "_Toc3884567" </w:instrText>
      </w:r>
      <w:r>
        <w:rPr>
          <w:b w:val="0"/>
          <w:bCs w:val="0"/>
          <w:color w:val="000000" w:themeColor="text1"/>
          <w:sz w:val="28"/>
          <w:szCs w:val="28"/>
          <w:u w:val="none"/>
          <w14:textFill>
            <w14:solidFill>
              <w14:schemeClr w14:val="tx1"/>
            </w14:solidFill>
          </w14:textFill>
        </w:rPr>
        <w:fldChar w:fldCharType="separate"/>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第</w:t>
      </w:r>
      <w:r>
        <w:rPr>
          <w:rStyle w:val="26"/>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五</w:t>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章</w:t>
      </w:r>
      <w:r>
        <w:rPr>
          <w:rStyle w:val="26"/>
          <w:rFonts w:ascii="Times New Roman" w:hAnsi="Times New Roman" w:eastAsia="仿宋"/>
          <w:b w:val="0"/>
          <w:bCs w:val="0"/>
          <w:color w:val="000000" w:themeColor="text1"/>
          <w:sz w:val="28"/>
          <w:szCs w:val="28"/>
          <w:u w:val="none"/>
          <w14:textFill>
            <w14:solidFill>
              <w14:schemeClr w14:val="tx1"/>
            </w14:solidFill>
          </w14:textFill>
        </w:rPr>
        <w:t xml:space="preserve"> </w:t>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保障措施</w:t>
      </w:r>
      <w:r>
        <w:rPr>
          <w:rFonts w:ascii="Times New Roman" w:hAnsi="Times New Roman" w:eastAsia="仿宋"/>
          <w:b w:val="0"/>
          <w:bCs w:val="0"/>
          <w:color w:val="000000" w:themeColor="text1"/>
          <w:sz w:val="28"/>
          <w:szCs w:val="28"/>
          <w:u w:val="none"/>
          <w14:textFill>
            <w14:solidFill>
              <w14:schemeClr w14:val="tx1"/>
            </w14:solidFill>
          </w14:textFill>
        </w:rPr>
        <w:tab/>
      </w:r>
      <w:r>
        <w:rPr>
          <w:rFonts w:ascii="Times New Roman" w:hAnsi="Times New Roman" w:eastAsia="仿宋"/>
          <w:b w:val="0"/>
          <w:bCs w:val="0"/>
          <w:color w:val="000000" w:themeColor="text1"/>
          <w:sz w:val="28"/>
          <w:szCs w:val="28"/>
          <w:u w:val="none"/>
          <w14:textFill>
            <w14:solidFill>
              <w14:schemeClr w14:val="tx1"/>
            </w14:solidFill>
          </w14:textFill>
        </w:rPr>
        <w:fldChar w:fldCharType="end"/>
      </w:r>
      <w:r>
        <w:rPr>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21</w:t>
      </w:r>
    </w:p>
    <w:p>
      <w:pPr>
        <w:ind w:left="0" w:leftChars="0" w:firstLine="0" w:firstLineChars="0"/>
        <w:rPr>
          <w:rFonts w:hint="eastAsia"/>
          <w:color w:val="000000" w:themeColor="text1"/>
          <w:u w:val="none"/>
          <w:lang w:val="en-US" w:eastAsia="zh-CN"/>
          <w14:textFill>
            <w14:solidFill>
              <w14:schemeClr w14:val="tx1"/>
            </w14:solidFill>
          </w14:textFill>
        </w:rPr>
      </w:pPr>
    </w:p>
    <w:p>
      <w:pPr>
        <w:pStyle w:val="14"/>
        <w:tabs>
          <w:tab w:val="right" w:leader="dot" w:pos="8396"/>
        </w:tabs>
        <w:spacing w:line="360" w:lineRule="exact"/>
        <w:rPr>
          <w:rFonts w:hint="default" w:ascii="Times New Roman" w:hAnsi="Times New Roman" w:eastAsia="仿宋"/>
          <w:b w:val="0"/>
          <w:bCs w:val="0"/>
          <w:color w:val="000000" w:themeColor="text1"/>
          <w:sz w:val="28"/>
          <w:szCs w:val="28"/>
          <w:u w:val="none"/>
          <w:lang w:val="en-US" w:eastAsia="zh-CN"/>
          <w14:textFill>
            <w14:solidFill>
              <w14:schemeClr w14:val="tx1"/>
            </w14:solidFill>
          </w14:textFill>
        </w:rPr>
      </w:pPr>
      <w:r>
        <w:rPr>
          <w:rStyle w:val="26"/>
          <w:rFonts w:ascii="Times New Roman" w:hAnsi="Times New Roman" w:eastAsia="仿宋"/>
          <w:b w:val="0"/>
          <w:bCs w:val="0"/>
          <w:color w:val="000000" w:themeColor="text1"/>
          <w:sz w:val="28"/>
          <w:szCs w:val="28"/>
          <w:u w:val="none"/>
          <w14:textFill>
            <w14:solidFill>
              <w14:schemeClr w14:val="tx1"/>
            </w14:solidFill>
          </w14:textFill>
        </w:rPr>
        <w:fldChar w:fldCharType="end"/>
      </w:r>
      <w:r>
        <w:rPr>
          <w:b w:val="0"/>
          <w:bCs w:val="0"/>
          <w:color w:val="000000" w:themeColor="text1"/>
          <w:sz w:val="28"/>
          <w:szCs w:val="28"/>
          <w:u w:val="none"/>
          <w14:textFill>
            <w14:solidFill>
              <w14:schemeClr w14:val="tx1"/>
            </w14:solidFill>
          </w14:textFill>
        </w:rPr>
        <w:fldChar w:fldCharType="begin"/>
      </w:r>
      <w:r>
        <w:rPr>
          <w:b w:val="0"/>
          <w:bCs w:val="0"/>
          <w:color w:val="000000" w:themeColor="text1"/>
          <w:sz w:val="28"/>
          <w:szCs w:val="28"/>
          <w:u w:val="none"/>
          <w14:textFill>
            <w14:solidFill>
              <w14:schemeClr w14:val="tx1"/>
            </w14:solidFill>
          </w14:textFill>
        </w:rPr>
        <w:instrText xml:space="preserve"> HYPERLINK \l "_Toc3884567" </w:instrText>
      </w:r>
      <w:r>
        <w:rPr>
          <w:b w:val="0"/>
          <w:bCs w:val="0"/>
          <w:color w:val="000000" w:themeColor="text1"/>
          <w:sz w:val="28"/>
          <w:szCs w:val="28"/>
          <w:u w:val="none"/>
          <w14:textFill>
            <w14:solidFill>
              <w14:schemeClr w14:val="tx1"/>
            </w14:solidFill>
          </w14:textFill>
        </w:rPr>
        <w:fldChar w:fldCharType="separate"/>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第</w:t>
      </w:r>
      <w:r>
        <w:rPr>
          <w:rStyle w:val="26"/>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六</w:t>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章</w:t>
      </w:r>
      <w:r>
        <w:rPr>
          <w:rStyle w:val="26"/>
          <w:rFonts w:ascii="Times New Roman" w:hAnsi="Times New Roman" w:eastAsia="仿宋"/>
          <w:b w:val="0"/>
          <w:bCs w:val="0"/>
          <w:color w:val="000000" w:themeColor="text1"/>
          <w:sz w:val="28"/>
          <w:szCs w:val="28"/>
          <w:u w:val="none"/>
          <w14:textFill>
            <w14:solidFill>
              <w14:schemeClr w14:val="tx1"/>
            </w14:solidFill>
          </w14:textFill>
        </w:rPr>
        <w:t xml:space="preserve"> </w:t>
      </w:r>
      <w:r>
        <w:rPr>
          <w:rStyle w:val="26"/>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技术</w:t>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措施</w:t>
      </w:r>
      <w:r>
        <w:rPr>
          <w:rFonts w:ascii="Times New Roman" w:hAnsi="Times New Roman" w:eastAsia="仿宋"/>
          <w:b w:val="0"/>
          <w:bCs w:val="0"/>
          <w:color w:val="000000" w:themeColor="text1"/>
          <w:sz w:val="28"/>
          <w:szCs w:val="28"/>
          <w:u w:val="none"/>
          <w14:textFill>
            <w14:solidFill>
              <w14:schemeClr w14:val="tx1"/>
            </w14:solidFill>
          </w14:textFill>
        </w:rPr>
        <w:tab/>
      </w:r>
      <w:r>
        <w:rPr>
          <w:rFonts w:ascii="Times New Roman" w:hAnsi="Times New Roman" w:eastAsia="仿宋"/>
          <w:b w:val="0"/>
          <w:bCs w:val="0"/>
          <w:color w:val="000000" w:themeColor="text1"/>
          <w:sz w:val="28"/>
          <w:szCs w:val="28"/>
          <w:u w:val="none"/>
          <w14:textFill>
            <w14:solidFill>
              <w14:schemeClr w14:val="tx1"/>
            </w14:solidFill>
          </w14:textFill>
        </w:rPr>
        <w:fldChar w:fldCharType="end"/>
      </w:r>
      <w:r>
        <w:rPr>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23</w:t>
      </w:r>
    </w:p>
    <w:p>
      <w:pPr>
        <w:ind w:left="0" w:leftChars="0" w:firstLine="0" w:firstLineChars="0"/>
        <w:rPr>
          <w:color w:val="000000" w:themeColor="text1"/>
          <w:u w:val="none"/>
          <w14:textFill>
            <w14:solidFill>
              <w14:schemeClr w14:val="tx1"/>
            </w14:solidFill>
          </w14:textFill>
        </w:rPr>
      </w:pPr>
    </w:p>
    <w:p>
      <w:pPr>
        <w:pStyle w:val="14"/>
        <w:tabs>
          <w:tab w:val="right" w:leader="dot" w:pos="8396"/>
        </w:tabs>
        <w:spacing w:line="360" w:lineRule="exact"/>
        <w:rPr>
          <w:rFonts w:hint="default" w:ascii="Times New Roman" w:hAnsi="Times New Roman" w:eastAsia="仿宋"/>
          <w:b w:val="0"/>
          <w:bCs w:val="0"/>
          <w:color w:val="000000" w:themeColor="text1"/>
          <w:sz w:val="28"/>
          <w:szCs w:val="28"/>
          <w:u w:val="none"/>
          <w:lang w:val="en-US" w:eastAsia="zh-CN"/>
          <w14:textFill>
            <w14:solidFill>
              <w14:schemeClr w14:val="tx1"/>
            </w14:solidFill>
          </w14:textFill>
        </w:rPr>
      </w:pPr>
      <w:r>
        <w:rPr>
          <w:b w:val="0"/>
          <w:bCs w:val="0"/>
          <w:color w:val="000000" w:themeColor="text1"/>
          <w:sz w:val="28"/>
          <w:szCs w:val="28"/>
          <w:u w:val="none"/>
          <w14:textFill>
            <w14:solidFill>
              <w14:schemeClr w14:val="tx1"/>
            </w14:solidFill>
          </w14:textFill>
        </w:rPr>
        <w:fldChar w:fldCharType="begin"/>
      </w:r>
      <w:r>
        <w:rPr>
          <w:b w:val="0"/>
          <w:bCs w:val="0"/>
          <w:color w:val="000000" w:themeColor="text1"/>
          <w:sz w:val="28"/>
          <w:szCs w:val="28"/>
          <w:u w:val="none"/>
          <w14:textFill>
            <w14:solidFill>
              <w14:schemeClr w14:val="tx1"/>
            </w14:solidFill>
          </w14:textFill>
        </w:rPr>
        <w:instrText xml:space="preserve"> HYPERLINK \l "_Toc3884567" </w:instrText>
      </w:r>
      <w:r>
        <w:rPr>
          <w:b w:val="0"/>
          <w:bCs w:val="0"/>
          <w:color w:val="000000" w:themeColor="text1"/>
          <w:sz w:val="28"/>
          <w:szCs w:val="28"/>
          <w:u w:val="none"/>
          <w14:textFill>
            <w14:solidFill>
              <w14:schemeClr w14:val="tx1"/>
            </w14:solidFill>
          </w14:textFill>
        </w:rPr>
        <w:fldChar w:fldCharType="separate"/>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第</w:t>
      </w:r>
      <w:r>
        <w:rPr>
          <w:rStyle w:val="26"/>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七</w:t>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章</w:t>
      </w:r>
      <w:r>
        <w:rPr>
          <w:rStyle w:val="26"/>
          <w:rFonts w:ascii="Times New Roman" w:hAnsi="Times New Roman" w:eastAsia="仿宋"/>
          <w:b w:val="0"/>
          <w:bCs w:val="0"/>
          <w:color w:val="000000" w:themeColor="text1"/>
          <w:sz w:val="28"/>
          <w:szCs w:val="28"/>
          <w:u w:val="none"/>
          <w14:textFill>
            <w14:solidFill>
              <w14:schemeClr w14:val="tx1"/>
            </w14:solidFill>
          </w14:textFill>
        </w:rPr>
        <w:t xml:space="preserve"> </w:t>
      </w:r>
      <w:r>
        <w:rPr>
          <w:rStyle w:val="26"/>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项目建设估算</w:t>
      </w:r>
      <w:r>
        <w:rPr>
          <w:rFonts w:ascii="Times New Roman" w:hAnsi="Times New Roman" w:eastAsia="仿宋"/>
          <w:b w:val="0"/>
          <w:bCs w:val="0"/>
          <w:color w:val="000000" w:themeColor="text1"/>
          <w:sz w:val="28"/>
          <w:szCs w:val="28"/>
          <w:u w:val="none"/>
          <w14:textFill>
            <w14:solidFill>
              <w14:schemeClr w14:val="tx1"/>
            </w14:solidFill>
          </w14:textFill>
        </w:rPr>
        <w:tab/>
      </w:r>
      <w:r>
        <w:rPr>
          <w:rFonts w:ascii="Times New Roman" w:hAnsi="Times New Roman" w:eastAsia="仿宋"/>
          <w:b w:val="0"/>
          <w:bCs w:val="0"/>
          <w:color w:val="000000" w:themeColor="text1"/>
          <w:sz w:val="28"/>
          <w:szCs w:val="28"/>
          <w:u w:val="none"/>
          <w14:textFill>
            <w14:solidFill>
              <w14:schemeClr w14:val="tx1"/>
            </w14:solidFill>
          </w14:textFill>
        </w:rPr>
        <w:fldChar w:fldCharType="end"/>
      </w:r>
      <w:r>
        <w:rPr>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43</w:t>
      </w:r>
    </w:p>
    <w:p>
      <w:pPr>
        <w:ind w:left="0" w:leftChars="0" w:firstLine="0" w:firstLineChars="0"/>
        <w:rPr>
          <w:rFonts w:hint="eastAsia"/>
          <w:color w:val="000000" w:themeColor="text1"/>
          <w:u w:val="none"/>
          <w:lang w:val="en-US" w:eastAsia="zh-CN"/>
          <w14:textFill>
            <w14:solidFill>
              <w14:schemeClr w14:val="tx1"/>
            </w14:solidFill>
          </w14:textFill>
        </w:rPr>
      </w:pPr>
    </w:p>
    <w:p>
      <w:pPr>
        <w:pStyle w:val="14"/>
        <w:tabs>
          <w:tab w:val="right" w:leader="dot" w:pos="8396"/>
        </w:tabs>
        <w:spacing w:line="360" w:lineRule="exact"/>
        <w:rPr>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pPr>
      <w:r>
        <w:rPr>
          <w:b w:val="0"/>
          <w:bCs w:val="0"/>
          <w:color w:val="000000" w:themeColor="text1"/>
          <w:sz w:val="28"/>
          <w:szCs w:val="28"/>
          <w:u w:val="none"/>
          <w14:textFill>
            <w14:solidFill>
              <w14:schemeClr w14:val="tx1"/>
            </w14:solidFill>
          </w14:textFill>
        </w:rPr>
        <w:fldChar w:fldCharType="begin"/>
      </w:r>
      <w:r>
        <w:rPr>
          <w:b w:val="0"/>
          <w:bCs w:val="0"/>
          <w:color w:val="000000" w:themeColor="text1"/>
          <w:sz w:val="28"/>
          <w:szCs w:val="28"/>
          <w:u w:val="none"/>
          <w14:textFill>
            <w14:solidFill>
              <w14:schemeClr w14:val="tx1"/>
            </w14:solidFill>
          </w14:textFill>
        </w:rPr>
        <w:instrText xml:space="preserve"> HYPERLINK \l "_Toc3884567" </w:instrText>
      </w:r>
      <w:r>
        <w:rPr>
          <w:b w:val="0"/>
          <w:bCs w:val="0"/>
          <w:color w:val="000000" w:themeColor="text1"/>
          <w:sz w:val="28"/>
          <w:szCs w:val="28"/>
          <w:u w:val="none"/>
          <w14:textFill>
            <w14:solidFill>
              <w14:schemeClr w14:val="tx1"/>
            </w14:solidFill>
          </w14:textFill>
        </w:rPr>
        <w:fldChar w:fldCharType="separate"/>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第</w:t>
      </w:r>
      <w:r>
        <w:rPr>
          <w:rStyle w:val="26"/>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八</w:t>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章</w:t>
      </w:r>
      <w:r>
        <w:rPr>
          <w:rStyle w:val="26"/>
          <w:rFonts w:ascii="Times New Roman" w:hAnsi="Times New Roman" w:eastAsia="仿宋"/>
          <w:b w:val="0"/>
          <w:bCs w:val="0"/>
          <w:color w:val="000000" w:themeColor="text1"/>
          <w:sz w:val="28"/>
          <w:szCs w:val="28"/>
          <w:u w:val="none"/>
          <w14:textFill>
            <w14:solidFill>
              <w14:schemeClr w14:val="tx1"/>
            </w14:solidFill>
          </w14:textFill>
        </w:rPr>
        <w:t xml:space="preserve"> </w:t>
      </w:r>
      <w:r>
        <w:rPr>
          <w:rStyle w:val="26"/>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项目实施内容及地点</w:t>
      </w:r>
      <w:r>
        <w:rPr>
          <w:rFonts w:ascii="Times New Roman" w:hAnsi="Times New Roman" w:eastAsia="仿宋"/>
          <w:b w:val="0"/>
          <w:bCs w:val="0"/>
          <w:color w:val="000000" w:themeColor="text1"/>
          <w:sz w:val="28"/>
          <w:szCs w:val="28"/>
          <w:u w:val="none"/>
          <w14:textFill>
            <w14:solidFill>
              <w14:schemeClr w14:val="tx1"/>
            </w14:solidFill>
          </w14:textFill>
        </w:rPr>
        <w:tab/>
      </w:r>
      <w:r>
        <w:rPr>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4</w:t>
      </w:r>
      <w:r>
        <w:rPr>
          <w:rFonts w:ascii="Times New Roman" w:hAnsi="Times New Roman" w:eastAsia="仿宋"/>
          <w:b w:val="0"/>
          <w:bCs w:val="0"/>
          <w:color w:val="000000" w:themeColor="text1"/>
          <w:sz w:val="28"/>
          <w:szCs w:val="28"/>
          <w:u w:val="none"/>
          <w14:textFill>
            <w14:solidFill>
              <w14:schemeClr w14:val="tx1"/>
            </w14:solidFill>
          </w14:textFill>
        </w:rPr>
        <w:fldChar w:fldCharType="end"/>
      </w:r>
      <w:r>
        <w:rPr>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9</w:t>
      </w:r>
    </w:p>
    <w:p>
      <w:pPr>
        <w:spacing w:line="360" w:lineRule="exact"/>
        <w:ind w:firstLine="0" w:firstLineChars="0"/>
        <w:rPr>
          <w:rStyle w:val="26"/>
          <w:rFonts w:ascii="Times New Roman" w:hAnsi="Times New Roman" w:eastAsia="仿宋"/>
          <w:b w:val="0"/>
          <w:bCs w:val="0"/>
          <w:sz w:val="28"/>
          <w:szCs w:val="28"/>
        </w:rPr>
      </w:pPr>
    </w:p>
    <w:p>
      <w:pPr>
        <w:pStyle w:val="4"/>
        <w:spacing w:line="600" w:lineRule="exact"/>
        <w:ind w:firstLine="0" w:firstLineChars="0"/>
        <w:jc w:val="center"/>
        <w:rPr>
          <w:rFonts w:ascii="Times New Roman" w:hAnsi="Times New Roman" w:eastAsia="仿宋"/>
          <w:b w:val="0"/>
          <w:bCs w:val="0"/>
          <w:color w:val="000000"/>
          <w:sz w:val="28"/>
          <w:szCs w:val="28"/>
        </w:rPr>
        <w:sectPr>
          <w:footerReference r:id="rId11" w:type="default"/>
          <w:pgSz w:w="11906" w:h="16838"/>
          <w:pgMar w:top="1440" w:right="1700" w:bottom="1440" w:left="1800" w:header="851" w:footer="992" w:gutter="0"/>
          <w:pgNumType w:fmt="upperRoman" w:start="1"/>
          <w:cols w:space="425" w:num="1"/>
          <w:docGrid w:type="lines" w:linePitch="312" w:charSpace="0"/>
        </w:sectPr>
      </w:pPr>
    </w:p>
    <w:p>
      <w:pPr>
        <w:pStyle w:val="4"/>
        <w:spacing w:line="600" w:lineRule="exact"/>
        <w:ind w:firstLine="0" w:firstLineChars="0"/>
        <w:jc w:val="center"/>
        <w:rPr>
          <w:rFonts w:ascii="Times New Roman" w:hAnsi="Times New Roman" w:eastAsia="仿宋"/>
          <w:b w:val="0"/>
          <w:bCs w:val="0"/>
          <w:color w:val="000000"/>
          <w:sz w:val="28"/>
          <w:szCs w:val="28"/>
        </w:rPr>
      </w:pPr>
      <w:bookmarkStart w:id="0" w:name="_Toc3884544"/>
      <w:r>
        <w:rPr>
          <w:rFonts w:hint="eastAsia" w:ascii="Times New Roman" w:hAnsi="Times New Roman" w:eastAsia="仿宋"/>
          <w:b w:val="0"/>
          <w:bCs w:val="0"/>
          <w:color w:val="000000"/>
          <w:sz w:val="28"/>
          <w:szCs w:val="28"/>
        </w:rPr>
        <w:t>第一章</w:t>
      </w:r>
      <w:r>
        <w:rPr>
          <w:rFonts w:ascii="Times New Roman" w:hAnsi="Times New Roman" w:eastAsia="仿宋"/>
          <w:b w:val="0"/>
          <w:bCs w:val="0"/>
          <w:color w:val="000000"/>
          <w:sz w:val="28"/>
          <w:szCs w:val="28"/>
        </w:rPr>
        <w:t xml:space="preserve"> </w:t>
      </w:r>
      <w:bookmarkEnd w:id="0"/>
      <w:r>
        <w:rPr>
          <w:rFonts w:hint="eastAsia" w:ascii="方正小标宋简体" w:hAnsi="方正小标宋简体" w:eastAsia="方正小标宋简体" w:cs="方正小标宋简体"/>
          <w:sz w:val="24"/>
          <w:szCs w:val="24"/>
          <w:lang w:val="zh-CN" w:eastAsia="zh-CN"/>
        </w:rPr>
        <w:t>射洪</w:t>
      </w:r>
      <w:r>
        <w:rPr>
          <w:rFonts w:hint="eastAsia" w:ascii="方正小标宋简体" w:hAnsi="方正小标宋简体" w:eastAsia="方正小标宋简体" w:cs="方正小标宋简体"/>
          <w:sz w:val="24"/>
          <w:szCs w:val="24"/>
          <w:lang w:val="en-US" w:eastAsia="zh-CN"/>
        </w:rPr>
        <w:t>市</w:t>
      </w:r>
      <w:r>
        <w:rPr>
          <w:rFonts w:hint="eastAsia" w:ascii="方正小标宋简体" w:hAnsi="方正小标宋简体" w:eastAsia="方正小标宋简体" w:cs="方正小标宋简体"/>
          <w:sz w:val="24"/>
          <w:szCs w:val="24"/>
          <w:lang w:val="zh-CN" w:eastAsia="zh-CN"/>
        </w:rPr>
        <w:t>农村人居环境整治“三大革命”工作方案</w:t>
      </w:r>
    </w:p>
    <w:p>
      <w:pPr>
        <w:keepNext w:val="0"/>
        <w:keepLines w:val="0"/>
        <w:pageBreakBefore w:val="0"/>
        <w:widowControl w:val="0"/>
        <w:kinsoku/>
        <w:wordWrap/>
        <w:overflowPunct/>
        <w:topLinePunct w:val="0"/>
        <w:autoSpaceDE/>
        <w:autoSpaceDN/>
        <w:bidi w:val="0"/>
        <w:adjustRightInd/>
        <w:snapToGrid/>
        <w:spacing w:line="324" w:lineRule="auto"/>
        <w:ind w:firstLine="1440" w:firstLineChars="600"/>
        <w:textAlignment w:val="auto"/>
        <w:rPr>
          <w:rFonts w:hint="eastAsia" w:ascii="仿宋_GB2312" w:hAnsi="仿宋_GB2312" w:eastAsia="仿宋_GB2312" w:cs="仿宋_GB2312"/>
          <w:b w:val="0"/>
          <w:bCs w:val="0"/>
          <w:sz w:val="24"/>
          <w:szCs w:val="24"/>
        </w:rPr>
      </w:pPr>
      <w:bookmarkStart w:id="1" w:name="_Toc3884549"/>
      <w:r>
        <w:rPr>
          <w:rFonts w:hint="eastAsia" w:ascii="宋体" w:hAnsi="宋体" w:eastAsia="方正小标宋简体" w:cs="宋体"/>
          <w:b w:val="0"/>
          <w:bCs w:val="0"/>
          <w:color w:val="000000"/>
          <w:sz w:val="24"/>
          <w:szCs w:val="24"/>
          <w:lang w:val="zh-CN" w:bidi="zh-CN"/>
        </w:rPr>
        <w:t>射洪</w:t>
      </w:r>
      <w:r>
        <w:rPr>
          <w:rFonts w:hint="eastAsia" w:ascii="宋体" w:hAnsi="宋体" w:eastAsia="方正小标宋简体" w:cs="宋体"/>
          <w:b w:val="0"/>
          <w:bCs w:val="0"/>
          <w:color w:val="000000"/>
          <w:sz w:val="24"/>
          <w:szCs w:val="24"/>
          <w:lang w:val="en-US" w:bidi="zh-CN"/>
        </w:rPr>
        <w:t>市</w:t>
      </w:r>
      <w:r>
        <w:rPr>
          <w:rFonts w:hint="eastAsia" w:ascii="宋体" w:hAnsi="宋体" w:eastAsia="方正小标宋简体" w:cs="宋体"/>
          <w:b w:val="0"/>
          <w:bCs w:val="0"/>
          <w:color w:val="000000"/>
          <w:sz w:val="24"/>
          <w:szCs w:val="24"/>
          <w:lang w:val="zh-CN" w:bidi="zh-CN"/>
        </w:rPr>
        <w:t>农村人居环境整治“厕所革命”工作方案</w:t>
      </w:r>
    </w:p>
    <w:p>
      <w:pPr>
        <w:keepNext w:val="0"/>
        <w:keepLines w:val="0"/>
        <w:pageBreakBefore w:val="0"/>
        <w:widowControl w:val="0"/>
        <w:kinsoku/>
        <w:wordWrap/>
        <w:overflowPunct/>
        <w:topLinePunct w:val="0"/>
        <w:autoSpaceDE/>
        <w:autoSpaceDN/>
        <w:bidi w:val="0"/>
        <w:adjustRightInd/>
        <w:snapToGrid/>
        <w:spacing w:line="324" w:lineRule="auto"/>
        <w:ind w:firstLine="480" w:firstLineChars="200"/>
        <w:textAlignment w:val="auto"/>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为补齐影响群众生活品质短板，切实推动我县农村户用厕所改造提升，按照中、省、市“厕所革命”有关部署，结合我县实际，特制定本工作方案。</w:t>
      </w:r>
    </w:p>
    <w:p>
      <w:pPr>
        <w:keepNext w:val="0"/>
        <w:keepLines w:val="0"/>
        <w:pageBreakBefore w:val="0"/>
        <w:widowControl w:val="0"/>
        <w:kinsoku/>
        <w:wordWrap/>
        <w:overflowPunct/>
        <w:topLinePunct w:val="0"/>
        <w:autoSpaceDE/>
        <w:autoSpaceDN/>
        <w:bidi w:val="0"/>
        <w:adjustRightInd/>
        <w:snapToGrid/>
        <w:spacing w:line="324" w:lineRule="auto"/>
        <w:ind w:firstLine="480" w:firstLineChars="200"/>
        <w:textAlignment w:val="auto"/>
        <w:rPr>
          <w:rFonts w:hint="eastAsia" w:ascii="仿宋_GB2312" w:hAnsi="仿宋_GB2312" w:eastAsia="仿宋_GB2312" w:cs="仿宋_GB2312"/>
          <w:b w:val="0"/>
          <w:bCs w:val="0"/>
          <w:sz w:val="24"/>
          <w:szCs w:val="24"/>
        </w:rPr>
      </w:pPr>
      <w:r>
        <w:rPr>
          <w:rFonts w:hint="eastAsia" w:ascii="黑体" w:hAnsi="黑体" w:eastAsia="黑体" w:cs="黑体"/>
          <w:b w:val="0"/>
          <w:bCs w:val="0"/>
          <w:sz w:val="24"/>
          <w:szCs w:val="24"/>
        </w:rPr>
        <w:t>一、基本原则</w:t>
      </w:r>
    </w:p>
    <w:p>
      <w:pPr>
        <w:keepNext w:val="0"/>
        <w:keepLines w:val="0"/>
        <w:pageBreakBefore w:val="0"/>
        <w:widowControl w:val="0"/>
        <w:kinsoku/>
        <w:wordWrap/>
        <w:overflowPunct/>
        <w:topLinePunct w:val="0"/>
        <w:autoSpaceDE/>
        <w:autoSpaceDN/>
        <w:bidi w:val="0"/>
        <w:adjustRightInd/>
        <w:snapToGrid/>
        <w:spacing w:line="324" w:lineRule="auto"/>
        <w:ind w:firstLine="480" w:firstLineChars="200"/>
        <w:textAlignment w:val="auto"/>
        <w:rPr>
          <w:rFonts w:hint="eastAsia" w:ascii="仿宋_GB2312" w:hAnsi="仿宋_GB2312" w:eastAsia="仿宋_GB2312" w:cs="仿宋_GB2312"/>
          <w:b w:val="0"/>
          <w:bCs w:val="0"/>
          <w:sz w:val="24"/>
          <w:szCs w:val="24"/>
        </w:rPr>
      </w:pPr>
      <w:r>
        <w:rPr>
          <w:rFonts w:hint="eastAsia" w:ascii="楷体_GB2312" w:hAnsi="楷体_GB2312" w:eastAsia="楷体_GB2312" w:cs="楷体_GB2312"/>
          <w:b w:val="0"/>
          <w:bCs w:val="0"/>
          <w:sz w:val="24"/>
          <w:szCs w:val="24"/>
        </w:rPr>
        <w:t>（一）坚持绿色发展</w:t>
      </w:r>
      <w:r>
        <w:rPr>
          <w:rFonts w:hint="eastAsia" w:ascii="仿宋_GB2312" w:hAnsi="仿宋_GB2312" w:eastAsia="仿宋_GB2312" w:cs="仿宋_GB2312"/>
          <w:b w:val="0"/>
          <w:bCs w:val="0"/>
          <w:sz w:val="24"/>
          <w:szCs w:val="24"/>
        </w:rPr>
        <w:t>。秉承绿色发展理念，按照建设美丽宜居乡村的要求，将农村户用厕所改造提升与农村生活污水治理、特色镇（街区）、土坯房改造、</w:t>
      </w:r>
      <w:r>
        <w:rPr>
          <w:rFonts w:hint="eastAsia" w:ascii="仿宋_GB2312" w:hAnsi="仿宋_GB2312" w:eastAsia="仿宋_GB2312" w:cs="仿宋_GB2312"/>
          <w:b w:val="0"/>
          <w:bCs w:val="0"/>
          <w:sz w:val="24"/>
          <w:szCs w:val="24"/>
          <w:lang w:eastAsia="zh-CN"/>
        </w:rPr>
        <w:t>易</w:t>
      </w:r>
      <w:r>
        <w:rPr>
          <w:rFonts w:hint="eastAsia" w:ascii="仿宋_GB2312" w:hAnsi="仿宋_GB2312" w:eastAsia="仿宋_GB2312" w:cs="仿宋_GB2312"/>
          <w:b w:val="0"/>
          <w:bCs w:val="0"/>
          <w:sz w:val="24"/>
          <w:szCs w:val="24"/>
        </w:rPr>
        <w:t>地扶贫搬迁等重大项目结合，统筹推进，切实改善我县农村人居环境，养成良好生活卫生习惯，提升群众生活品质。</w:t>
      </w:r>
    </w:p>
    <w:p>
      <w:pPr>
        <w:keepNext w:val="0"/>
        <w:keepLines w:val="0"/>
        <w:pageBreakBefore w:val="0"/>
        <w:widowControl w:val="0"/>
        <w:kinsoku/>
        <w:wordWrap/>
        <w:overflowPunct/>
        <w:topLinePunct w:val="0"/>
        <w:autoSpaceDE/>
        <w:autoSpaceDN/>
        <w:bidi w:val="0"/>
        <w:adjustRightInd/>
        <w:snapToGrid/>
        <w:spacing w:line="324" w:lineRule="auto"/>
        <w:ind w:firstLine="480" w:firstLineChars="200"/>
        <w:textAlignment w:val="auto"/>
        <w:rPr>
          <w:rFonts w:hint="eastAsia" w:ascii="仿宋_GB2312" w:hAnsi="仿宋_GB2312" w:eastAsia="仿宋_GB2312" w:cs="仿宋_GB2312"/>
          <w:b w:val="0"/>
          <w:bCs w:val="0"/>
          <w:sz w:val="24"/>
          <w:szCs w:val="24"/>
        </w:rPr>
      </w:pPr>
      <w:r>
        <w:rPr>
          <w:rFonts w:hint="eastAsia" w:ascii="楷体_GB2312" w:hAnsi="楷体_GB2312" w:eastAsia="楷体_GB2312" w:cs="楷体_GB2312"/>
          <w:b w:val="0"/>
          <w:bCs w:val="0"/>
          <w:sz w:val="24"/>
          <w:szCs w:val="24"/>
        </w:rPr>
        <w:t>（二）坚持整村推进。</w:t>
      </w:r>
      <w:r>
        <w:rPr>
          <w:rFonts w:hint="eastAsia" w:ascii="仿宋_GB2312" w:hAnsi="仿宋_GB2312" w:eastAsia="仿宋_GB2312" w:cs="仿宋_GB2312"/>
          <w:b w:val="0"/>
          <w:bCs w:val="0"/>
          <w:sz w:val="24"/>
          <w:szCs w:val="24"/>
        </w:rPr>
        <w:t>按照2020年我县农村户用厕所无害化改造提升全覆盖、全面消灭旱厕的总目标，坚持</w:t>
      </w:r>
      <w:r>
        <w:rPr>
          <w:rFonts w:hint="eastAsia" w:ascii="仿宋_GB2312" w:hAnsi="仿宋_GB2312" w:eastAsia="仿宋_GB2312" w:cs="仿宋_GB2312"/>
          <w:b w:val="0"/>
          <w:bCs w:val="0"/>
          <w:sz w:val="24"/>
          <w:szCs w:val="24"/>
          <w:lang w:eastAsia="zh-CN"/>
        </w:rPr>
        <w:t>农</w:t>
      </w:r>
      <w:r>
        <w:rPr>
          <w:rFonts w:hint="eastAsia" w:ascii="仿宋_GB2312" w:hAnsi="仿宋_GB2312" w:eastAsia="仿宋_GB2312" w:cs="仿宋_GB2312"/>
          <w:b w:val="0"/>
          <w:bCs w:val="0"/>
          <w:sz w:val="24"/>
          <w:szCs w:val="24"/>
        </w:rPr>
        <w:t>民主</w:t>
      </w:r>
      <w:r>
        <w:rPr>
          <w:rFonts w:hint="eastAsia" w:ascii="仿宋_GB2312" w:hAnsi="仿宋_GB2312" w:eastAsia="仿宋_GB2312" w:cs="仿宋_GB2312"/>
          <w:b w:val="0"/>
          <w:bCs w:val="0"/>
          <w:sz w:val="24"/>
          <w:szCs w:val="24"/>
          <w:lang w:eastAsia="zh-CN"/>
        </w:rPr>
        <w:t>体</w:t>
      </w:r>
      <w:r>
        <w:rPr>
          <w:rFonts w:hint="eastAsia" w:ascii="仿宋_GB2312" w:hAnsi="仿宋_GB2312" w:eastAsia="仿宋_GB2312" w:cs="仿宋_GB2312"/>
          <w:b w:val="0"/>
          <w:bCs w:val="0"/>
          <w:sz w:val="24"/>
          <w:szCs w:val="24"/>
        </w:rPr>
        <w:t>、政府引导，全域整村推进我县农村户用厕所无害化改造提升。</w:t>
      </w:r>
    </w:p>
    <w:p>
      <w:pPr>
        <w:keepNext w:val="0"/>
        <w:keepLines w:val="0"/>
        <w:pageBreakBefore w:val="0"/>
        <w:widowControl w:val="0"/>
        <w:kinsoku/>
        <w:wordWrap/>
        <w:overflowPunct/>
        <w:topLinePunct w:val="0"/>
        <w:autoSpaceDE/>
        <w:autoSpaceDN/>
        <w:bidi w:val="0"/>
        <w:adjustRightInd/>
        <w:snapToGrid/>
        <w:spacing w:line="324" w:lineRule="auto"/>
        <w:ind w:firstLine="480" w:firstLineChars="200"/>
        <w:textAlignment w:val="auto"/>
        <w:rPr>
          <w:rFonts w:hint="eastAsia" w:ascii="仿宋_GB2312" w:hAnsi="仿宋_GB2312" w:eastAsia="仿宋_GB2312" w:cs="仿宋_GB2312"/>
          <w:b w:val="0"/>
          <w:bCs w:val="0"/>
          <w:sz w:val="24"/>
          <w:szCs w:val="24"/>
        </w:rPr>
      </w:pPr>
      <w:r>
        <w:rPr>
          <w:rFonts w:hint="eastAsia" w:ascii="楷体_GB2312" w:hAnsi="楷体_GB2312" w:eastAsia="楷体_GB2312" w:cs="楷体_GB2312"/>
          <w:b w:val="0"/>
          <w:bCs w:val="0"/>
          <w:sz w:val="24"/>
          <w:szCs w:val="24"/>
        </w:rPr>
        <w:t>（三）坚持稳步推进。</w:t>
      </w:r>
      <w:r>
        <w:rPr>
          <w:rFonts w:hint="eastAsia" w:ascii="仿宋_GB2312" w:hAnsi="仿宋_GB2312" w:eastAsia="仿宋_GB2312" w:cs="仿宋_GB2312"/>
          <w:b w:val="0"/>
          <w:bCs w:val="0"/>
          <w:sz w:val="24"/>
          <w:szCs w:val="24"/>
        </w:rPr>
        <w:t>积极借鉴浙江“千村示范、万村整治”经验，充分尊重农村历史形成的居住现状和居住习惯，把群众认同、群众参与、群众满意作为基本要求，调动农户参与改厕工作的自主性和积极性，示范引领、稳步推进。</w:t>
      </w:r>
    </w:p>
    <w:p>
      <w:pPr>
        <w:keepNext w:val="0"/>
        <w:keepLines w:val="0"/>
        <w:pageBreakBefore w:val="0"/>
        <w:widowControl w:val="0"/>
        <w:kinsoku/>
        <w:wordWrap/>
        <w:overflowPunct/>
        <w:topLinePunct w:val="0"/>
        <w:autoSpaceDE/>
        <w:autoSpaceDN/>
        <w:bidi w:val="0"/>
        <w:adjustRightInd/>
        <w:snapToGrid/>
        <w:spacing w:line="324" w:lineRule="auto"/>
        <w:ind w:firstLine="480" w:firstLineChars="200"/>
        <w:textAlignment w:val="auto"/>
        <w:rPr>
          <w:rFonts w:hint="eastAsia" w:ascii="仿宋_GB2312" w:hAnsi="仿宋_GB2312" w:eastAsia="仿宋_GB2312" w:cs="仿宋_GB2312"/>
          <w:b w:val="0"/>
          <w:bCs w:val="0"/>
          <w:sz w:val="24"/>
          <w:szCs w:val="24"/>
          <w:lang w:val="zh-CN"/>
        </w:rPr>
      </w:pPr>
      <w:r>
        <w:rPr>
          <w:rFonts w:hint="eastAsia" w:ascii="楷体_GB2312" w:hAnsi="楷体_GB2312" w:eastAsia="楷体_GB2312" w:cs="楷体_GB2312"/>
          <w:b w:val="0"/>
          <w:bCs w:val="0"/>
          <w:sz w:val="24"/>
          <w:szCs w:val="24"/>
        </w:rPr>
        <w:t>（四）坚持群众主体。</w:t>
      </w:r>
      <w:r>
        <w:rPr>
          <w:rFonts w:hint="eastAsia" w:ascii="仿宋_GB2312" w:hAnsi="仿宋_GB2312" w:eastAsia="仿宋_GB2312" w:cs="仿宋_GB2312"/>
          <w:b w:val="0"/>
          <w:bCs w:val="0"/>
          <w:sz w:val="24"/>
          <w:szCs w:val="24"/>
          <w:lang w:val="zh-CN"/>
        </w:rPr>
        <w:t>积极引导村民共同参与讨论、修订和遵守村规民约，明确村民负责维持庭院内部和房前屋后环境整治、缴纳保洁费、投工投劳等方面的具体责任和义务，推动形成依法立约、以约治村的良好格局。充分发挥农村基层党组织领导核心作用，重视发挥群团、协会、村民理事会、农民合作社等组织的作用，引导群众加强自我教育、自我管理、自我服务、自我监督。</w:t>
      </w:r>
    </w:p>
    <w:p>
      <w:pPr>
        <w:keepNext w:val="0"/>
        <w:keepLines w:val="0"/>
        <w:pageBreakBefore w:val="0"/>
        <w:widowControl w:val="0"/>
        <w:kinsoku/>
        <w:wordWrap/>
        <w:overflowPunct/>
        <w:topLinePunct w:val="0"/>
        <w:autoSpaceDE/>
        <w:autoSpaceDN/>
        <w:bidi w:val="0"/>
        <w:adjustRightInd/>
        <w:snapToGrid/>
        <w:spacing w:line="324" w:lineRule="auto"/>
        <w:ind w:firstLine="480" w:firstLineChars="200"/>
        <w:textAlignment w:val="auto"/>
        <w:rPr>
          <w:rFonts w:hint="eastAsia" w:ascii="仿宋_GB2312" w:hAnsi="仿宋_GB2312" w:eastAsia="仿宋_GB2312" w:cs="仿宋_GB2312"/>
          <w:b w:val="0"/>
          <w:bCs w:val="0"/>
          <w:sz w:val="24"/>
          <w:szCs w:val="24"/>
        </w:rPr>
      </w:pPr>
      <w:r>
        <w:rPr>
          <w:rFonts w:hint="eastAsia" w:ascii="楷体_GB2312" w:hAnsi="楷体_GB2312" w:eastAsia="楷体_GB2312" w:cs="楷体_GB2312"/>
          <w:b w:val="0"/>
          <w:bCs w:val="0"/>
          <w:sz w:val="24"/>
          <w:szCs w:val="24"/>
          <w:lang w:val="zh-CN"/>
        </w:rPr>
        <w:t>（</w:t>
      </w:r>
      <w:r>
        <w:rPr>
          <w:rFonts w:hint="eastAsia" w:ascii="楷体_GB2312" w:hAnsi="楷体_GB2312" w:eastAsia="楷体_GB2312" w:cs="楷体_GB2312"/>
          <w:b w:val="0"/>
          <w:bCs w:val="0"/>
          <w:sz w:val="24"/>
          <w:szCs w:val="24"/>
        </w:rPr>
        <w:t>五</w:t>
      </w:r>
      <w:r>
        <w:rPr>
          <w:rFonts w:hint="eastAsia" w:ascii="楷体_GB2312" w:hAnsi="楷体_GB2312" w:eastAsia="楷体_GB2312" w:cs="楷体_GB2312"/>
          <w:b w:val="0"/>
          <w:bCs w:val="0"/>
          <w:sz w:val="24"/>
          <w:szCs w:val="24"/>
          <w:lang w:val="zh-CN"/>
        </w:rPr>
        <w:t>）</w:t>
      </w:r>
      <w:r>
        <w:rPr>
          <w:rFonts w:hint="eastAsia" w:ascii="楷体_GB2312" w:hAnsi="楷体_GB2312" w:eastAsia="楷体_GB2312" w:cs="楷体_GB2312"/>
          <w:b w:val="0"/>
          <w:bCs w:val="0"/>
          <w:sz w:val="24"/>
          <w:szCs w:val="24"/>
        </w:rPr>
        <w:t>坚持统筹协调。</w:t>
      </w:r>
      <w:r>
        <w:rPr>
          <w:rFonts w:hint="eastAsia" w:ascii="仿宋_GB2312" w:hAnsi="仿宋_GB2312" w:eastAsia="仿宋_GB2312" w:cs="仿宋_GB2312"/>
          <w:b w:val="0"/>
          <w:bCs w:val="0"/>
          <w:sz w:val="24"/>
          <w:szCs w:val="24"/>
        </w:rPr>
        <w:t>要加强部门协调，建立健全运用好联席会议制度，明确部门分工负责。厕所革命与污水处理、垃圾治理要统筹协调推进，同安排、同部署，确保协调有序。</w:t>
      </w:r>
      <w:r>
        <w:rPr>
          <w:rFonts w:hint="eastAsia" w:ascii="仿宋_GB2312" w:hAnsi="仿宋_GB2312" w:eastAsia="仿宋_GB2312" w:cs="仿宋_GB2312"/>
          <w:b w:val="0"/>
          <w:bCs w:val="0"/>
          <w:sz w:val="24"/>
          <w:szCs w:val="24"/>
          <w:lang w:val="en-US" w:eastAsia="zh-CN"/>
        </w:rPr>
        <w:t>市</w:t>
      </w:r>
      <w:r>
        <w:rPr>
          <w:rFonts w:hint="eastAsia" w:ascii="仿宋_GB2312" w:hAnsi="仿宋_GB2312" w:eastAsia="仿宋_GB2312" w:cs="仿宋_GB2312"/>
          <w:b w:val="0"/>
          <w:bCs w:val="0"/>
          <w:sz w:val="24"/>
          <w:szCs w:val="24"/>
        </w:rPr>
        <w:t>农业农村局负责人居环境整治牵头统筹工作，具体负责厕所革命治理工作。</w:t>
      </w:r>
      <w:r>
        <w:rPr>
          <w:rFonts w:hint="eastAsia" w:ascii="仿宋_GB2312" w:hAnsi="仿宋_GB2312" w:eastAsia="仿宋_GB2312" w:cs="仿宋_GB2312"/>
          <w:b w:val="0"/>
          <w:bCs w:val="0"/>
          <w:sz w:val="24"/>
          <w:szCs w:val="24"/>
          <w:lang w:eastAsia="zh-CN"/>
        </w:rPr>
        <w:t>县</w:t>
      </w:r>
      <w:r>
        <w:rPr>
          <w:rFonts w:hint="eastAsia" w:ascii="仿宋_GB2312" w:hAnsi="仿宋_GB2312" w:eastAsia="仿宋_GB2312" w:cs="仿宋_GB2312"/>
          <w:b w:val="0"/>
          <w:bCs w:val="0"/>
          <w:sz w:val="24"/>
          <w:szCs w:val="24"/>
        </w:rPr>
        <w:t>农能局具体负责厕所革命治理项目实施中的技术指导工作。县发</w:t>
      </w:r>
      <w:r>
        <w:rPr>
          <w:rFonts w:hint="eastAsia" w:ascii="仿宋_GB2312" w:hAnsi="仿宋_GB2312" w:eastAsia="仿宋_GB2312" w:cs="仿宋_GB2312"/>
          <w:b w:val="0"/>
          <w:bCs w:val="0"/>
          <w:sz w:val="24"/>
          <w:szCs w:val="24"/>
          <w:lang w:eastAsia="zh-CN"/>
        </w:rPr>
        <w:t>展</w:t>
      </w:r>
      <w:r>
        <w:rPr>
          <w:rFonts w:hint="eastAsia" w:ascii="仿宋_GB2312" w:hAnsi="仿宋_GB2312" w:eastAsia="仿宋_GB2312" w:cs="仿宋_GB2312"/>
          <w:b w:val="0"/>
          <w:bCs w:val="0"/>
          <w:sz w:val="24"/>
          <w:szCs w:val="24"/>
        </w:rPr>
        <w:t>改</w:t>
      </w:r>
      <w:r>
        <w:rPr>
          <w:rFonts w:hint="eastAsia" w:ascii="仿宋_GB2312" w:hAnsi="仿宋_GB2312" w:eastAsia="仿宋_GB2312" w:cs="仿宋_GB2312"/>
          <w:b w:val="0"/>
          <w:bCs w:val="0"/>
          <w:sz w:val="24"/>
          <w:szCs w:val="24"/>
          <w:lang w:eastAsia="zh-CN"/>
        </w:rPr>
        <w:t>革</w:t>
      </w:r>
      <w:r>
        <w:rPr>
          <w:rFonts w:hint="eastAsia" w:ascii="仿宋_GB2312" w:hAnsi="仿宋_GB2312" w:eastAsia="仿宋_GB2312" w:cs="仿宋_GB2312"/>
          <w:b w:val="0"/>
          <w:bCs w:val="0"/>
          <w:sz w:val="24"/>
          <w:szCs w:val="24"/>
        </w:rPr>
        <w:t>局要研究解释好实施过程中民办公助等群众自主招标流程、程序及规范。县财政局要负责</w:t>
      </w:r>
      <w:r>
        <w:rPr>
          <w:rFonts w:hint="eastAsia" w:ascii="仿宋_GB2312" w:hAnsi="仿宋_GB2312" w:eastAsia="仿宋_GB2312" w:cs="仿宋_GB2312"/>
          <w:b w:val="0"/>
          <w:bCs w:val="0"/>
          <w:sz w:val="24"/>
          <w:szCs w:val="24"/>
          <w:lang w:eastAsia="zh-CN"/>
        </w:rPr>
        <w:t>做</w:t>
      </w:r>
      <w:r>
        <w:rPr>
          <w:rFonts w:hint="eastAsia" w:ascii="仿宋_GB2312" w:hAnsi="仿宋_GB2312" w:eastAsia="仿宋_GB2312" w:cs="仿宋_GB2312"/>
          <w:b w:val="0"/>
          <w:bCs w:val="0"/>
          <w:sz w:val="24"/>
          <w:szCs w:val="24"/>
        </w:rPr>
        <w:t>好</w:t>
      </w:r>
      <w:r>
        <w:rPr>
          <w:rFonts w:hint="eastAsia" w:ascii="仿宋_GB2312" w:hAnsi="仿宋_GB2312" w:eastAsia="仿宋_GB2312" w:cs="仿宋_GB2312"/>
          <w:b w:val="0"/>
          <w:bCs w:val="0"/>
          <w:sz w:val="24"/>
          <w:szCs w:val="24"/>
          <w:lang w:eastAsia="zh-CN"/>
        </w:rPr>
        <w:t>农村</w:t>
      </w:r>
      <w:r>
        <w:rPr>
          <w:rFonts w:hint="eastAsia" w:ascii="仿宋_GB2312" w:hAnsi="仿宋_GB2312" w:eastAsia="仿宋_GB2312" w:cs="仿宋_GB2312"/>
          <w:b w:val="0"/>
          <w:bCs w:val="0"/>
          <w:sz w:val="24"/>
          <w:szCs w:val="24"/>
        </w:rPr>
        <w:t>人居环境整治</w:t>
      </w:r>
      <w:r>
        <w:rPr>
          <w:rFonts w:hint="eastAsia" w:ascii="仿宋_GB2312" w:hAnsi="仿宋_GB2312" w:eastAsia="仿宋_GB2312" w:cs="仿宋_GB2312"/>
          <w:b w:val="0"/>
          <w:bCs w:val="0"/>
          <w:sz w:val="24"/>
          <w:szCs w:val="24"/>
          <w:lang w:eastAsia="zh-CN"/>
        </w:rPr>
        <w:t>专项资金和</w:t>
      </w:r>
      <w:r>
        <w:rPr>
          <w:rFonts w:hint="eastAsia" w:ascii="仿宋_GB2312" w:hAnsi="仿宋_GB2312" w:eastAsia="仿宋_GB2312" w:cs="仿宋_GB2312"/>
          <w:b w:val="0"/>
          <w:bCs w:val="0"/>
          <w:sz w:val="24"/>
          <w:szCs w:val="24"/>
        </w:rPr>
        <w:t>地方债</w:t>
      </w:r>
      <w:r>
        <w:rPr>
          <w:rFonts w:hint="eastAsia" w:ascii="仿宋_GB2312" w:hAnsi="仿宋_GB2312" w:eastAsia="仿宋_GB2312" w:cs="仿宋_GB2312"/>
          <w:b w:val="0"/>
          <w:bCs w:val="0"/>
          <w:sz w:val="24"/>
          <w:szCs w:val="24"/>
          <w:lang w:eastAsia="zh-CN"/>
        </w:rPr>
        <w:t>务</w:t>
      </w:r>
      <w:r>
        <w:rPr>
          <w:rFonts w:hint="eastAsia" w:ascii="仿宋_GB2312" w:hAnsi="仿宋_GB2312" w:eastAsia="仿宋_GB2312" w:cs="仿宋_GB2312"/>
          <w:b w:val="0"/>
          <w:bCs w:val="0"/>
          <w:sz w:val="24"/>
          <w:szCs w:val="24"/>
        </w:rPr>
        <w:t>资金</w:t>
      </w:r>
      <w:r>
        <w:rPr>
          <w:rFonts w:hint="eastAsia" w:ascii="仿宋_GB2312" w:hAnsi="仿宋_GB2312" w:eastAsia="仿宋_GB2312" w:cs="仿宋_GB2312"/>
          <w:b w:val="0"/>
          <w:bCs w:val="0"/>
          <w:sz w:val="24"/>
          <w:szCs w:val="24"/>
          <w:lang w:eastAsia="zh-CN"/>
        </w:rPr>
        <w:t>的</w:t>
      </w:r>
      <w:r>
        <w:rPr>
          <w:rFonts w:hint="eastAsia" w:ascii="仿宋_GB2312" w:hAnsi="仿宋_GB2312" w:eastAsia="仿宋_GB2312" w:cs="仿宋_GB2312"/>
          <w:b w:val="0"/>
          <w:bCs w:val="0"/>
          <w:sz w:val="24"/>
          <w:szCs w:val="24"/>
        </w:rPr>
        <w:t>使用</w:t>
      </w:r>
      <w:r>
        <w:rPr>
          <w:rFonts w:hint="eastAsia" w:ascii="仿宋_GB2312" w:hAnsi="仿宋_GB2312" w:eastAsia="仿宋_GB2312" w:cs="仿宋_GB2312"/>
          <w:b w:val="0"/>
          <w:bCs w:val="0"/>
          <w:sz w:val="24"/>
          <w:szCs w:val="24"/>
          <w:lang w:eastAsia="zh-CN"/>
        </w:rPr>
        <w:t>及拨付</w:t>
      </w:r>
      <w:r>
        <w:rPr>
          <w:rFonts w:hint="eastAsia" w:ascii="仿宋_GB2312" w:hAnsi="仿宋_GB2312" w:eastAsia="仿宋_GB2312" w:cs="仿宋_GB2312"/>
          <w:b w:val="0"/>
          <w:bCs w:val="0"/>
          <w:sz w:val="24"/>
          <w:szCs w:val="24"/>
        </w:rPr>
        <w:t>工作。联席会议制度涉及部门要根据职能职责，做好配合推动工作。</w:t>
      </w:r>
    </w:p>
    <w:p>
      <w:pPr>
        <w:keepNext w:val="0"/>
        <w:keepLines w:val="0"/>
        <w:pageBreakBefore w:val="0"/>
        <w:widowControl w:val="0"/>
        <w:kinsoku/>
        <w:wordWrap/>
        <w:overflowPunct/>
        <w:topLinePunct w:val="0"/>
        <w:autoSpaceDE/>
        <w:autoSpaceDN/>
        <w:bidi w:val="0"/>
        <w:adjustRightInd/>
        <w:snapToGrid/>
        <w:spacing w:line="324" w:lineRule="auto"/>
        <w:ind w:firstLine="480" w:firstLineChars="200"/>
        <w:textAlignment w:val="auto"/>
        <w:rPr>
          <w:rFonts w:hint="eastAsia" w:ascii="黑体" w:hAnsi="黑体" w:eastAsia="黑体" w:cs="黑体"/>
          <w:b w:val="0"/>
          <w:bCs w:val="0"/>
          <w:sz w:val="24"/>
          <w:szCs w:val="24"/>
        </w:rPr>
      </w:pPr>
      <w:r>
        <w:rPr>
          <w:rFonts w:hint="eastAsia" w:ascii="黑体" w:hAnsi="黑体" w:eastAsia="黑体" w:cs="黑体"/>
          <w:b w:val="0"/>
          <w:bCs w:val="0"/>
          <w:sz w:val="24"/>
          <w:szCs w:val="24"/>
          <w:lang w:val="en-US" w:eastAsia="zh-CN"/>
        </w:rPr>
        <w:t>二</w:t>
      </w:r>
      <w:r>
        <w:rPr>
          <w:rFonts w:hint="eastAsia" w:ascii="黑体" w:hAnsi="黑体" w:eastAsia="黑体" w:cs="黑体"/>
          <w:b w:val="0"/>
          <w:bCs w:val="0"/>
          <w:sz w:val="24"/>
          <w:szCs w:val="24"/>
        </w:rPr>
        <w:t>、工作要求</w:t>
      </w:r>
    </w:p>
    <w:p>
      <w:pPr>
        <w:keepNext w:val="0"/>
        <w:keepLines w:val="0"/>
        <w:pageBreakBefore w:val="0"/>
        <w:widowControl w:val="0"/>
        <w:kinsoku/>
        <w:wordWrap/>
        <w:overflowPunct/>
        <w:topLinePunct w:val="0"/>
        <w:autoSpaceDE/>
        <w:autoSpaceDN/>
        <w:bidi w:val="0"/>
        <w:adjustRightInd/>
        <w:snapToGrid/>
        <w:spacing w:line="324" w:lineRule="auto"/>
        <w:ind w:firstLine="480" w:firstLineChars="200"/>
        <w:textAlignment w:val="auto"/>
        <w:rPr>
          <w:rFonts w:hint="eastAsia" w:ascii="仿宋_GB2312" w:hAnsi="仿宋_GB2312" w:eastAsia="仿宋_GB2312" w:cs="仿宋_GB2312"/>
          <w:b w:val="0"/>
          <w:bCs w:val="0"/>
          <w:sz w:val="24"/>
          <w:szCs w:val="24"/>
        </w:rPr>
      </w:pPr>
      <w:r>
        <w:rPr>
          <w:rFonts w:hint="eastAsia" w:ascii="楷体_GB2312" w:hAnsi="楷体_GB2312" w:eastAsia="楷体_GB2312" w:cs="楷体_GB2312"/>
          <w:b w:val="0"/>
          <w:bCs w:val="0"/>
          <w:sz w:val="24"/>
          <w:szCs w:val="24"/>
        </w:rPr>
        <w:t>（一）统一规划，明确目标任务。</w:t>
      </w:r>
      <w:r>
        <w:rPr>
          <w:rFonts w:hint="eastAsia" w:ascii="仿宋_GB2312" w:hAnsi="仿宋_GB2312" w:eastAsia="仿宋_GB2312" w:cs="仿宋_GB2312"/>
          <w:b w:val="0"/>
          <w:bCs w:val="0"/>
          <w:sz w:val="24"/>
          <w:szCs w:val="24"/>
        </w:rPr>
        <w:t>到2020年，实现我县农村户用厕所无害化改造全覆盖，全面消灭旱厕，进一步提升农村人居环境水平。到2020年，</w:t>
      </w:r>
      <w:r>
        <w:rPr>
          <w:rFonts w:hint="eastAsia" w:ascii="仿宋_GB2312" w:hAnsi="仿宋_GB2312" w:eastAsia="仿宋_GB2312" w:cs="仿宋_GB2312"/>
          <w:b w:val="0"/>
          <w:bCs w:val="0"/>
          <w:color w:val="000000"/>
          <w:sz w:val="24"/>
          <w:szCs w:val="24"/>
          <w:lang w:val="zh-CN" w:bidi="zh-CN"/>
        </w:rPr>
        <w:t>农村卫生厕所普及率达到</w:t>
      </w:r>
      <w:r>
        <w:rPr>
          <w:rFonts w:hint="eastAsia" w:ascii="仿宋_GB2312" w:hAnsi="仿宋_GB2312" w:eastAsia="仿宋_GB2312" w:cs="仿宋_GB2312"/>
          <w:b w:val="0"/>
          <w:bCs w:val="0"/>
          <w:color w:val="000000"/>
          <w:sz w:val="24"/>
          <w:szCs w:val="24"/>
          <w:lang w:bidi="zh-CN"/>
        </w:rPr>
        <w:t>85</w:t>
      </w:r>
      <w:r>
        <w:rPr>
          <w:rFonts w:hint="eastAsia" w:ascii="仿宋_GB2312" w:hAnsi="仿宋_GB2312" w:eastAsia="仿宋_GB2312" w:cs="仿宋_GB2312"/>
          <w:b w:val="0"/>
          <w:bCs w:val="0"/>
          <w:color w:val="000000"/>
          <w:sz w:val="24"/>
          <w:szCs w:val="24"/>
          <w:lang w:val="zh-CN" w:bidi="zh-CN"/>
        </w:rPr>
        <w:t>%以上，</w:t>
      </w:r>
      <w:r>
        <w:rPr>
          <w:rFonts w:hint="eastAsia" w:ascii="仿宋_GB2312" w:hAnsi="仿宋_GB2312" w:eastAsia="仿宋_GB2312" w:cs="仿宋_GB2312"/>
          <w:b w:val="0"/>
          <w:bCs w:val="0"/>
          <w:sz w:val="24"/>
          <w:szCs w:val="24"/>
        </w:rPr>
        <w:t>其中：2019年完成6.46万户。2019年，全面完成全市农业一体化大环线（射洪段）沿线、镇人民政府所在地、新村聚居点、幸福美丽新村等有基础有条件的村组农村户用厕所无害化改造，厕所粪污基本得到处理或资源化利用，</w:t>
      </w:r>
      <w:r>
        <w:rPr>
          <w:rFonts w:hint="eastAsia" w:ascii="仿宋_GB2312" w:hAnsi="仿宋_GB2312" w:eastAsia="仿宋_GB2312" w:cs="仿宋_GB2312"/>
          <w:b w:val="0"/>
          <w:bCs w:val="0"/>
          <w:sz w:val="24"/>
          <w:szCs w:val="24"/>
          <w:lang w:eastAsia="zh-CN"/>
        </w:rPr>
        <w:t>无害化</w:t>
      </w:r>
      <w:r>
        <w:rPr>
          <w:rFonts w:hint="eastAsia" w:ascii="仿宋_GB2312" w:hAnsi="仿宋_GB2312" w:eastAsia="仿宋_GB2312" w:cs="仿宋_GB2312"/>
          <w:b w:val="0"/>
          <w:bCs w:val="0"/>
          <w:sz w:val="24"/>
          <w:szCs w:val="24"/>
        </w:rPr>
        <w:t>卫生厕所普及率达到72%以上，管护长效机制初步建立；其余地处偏远的镇卫生厕所普及率达到71%以上。</w:t>
      </w:r>
    </w:p>
    <w:p>
      <w:pPr>
        <w:keepNext w:val="0"/>
        <w:keepLines w:val="0"/>
        <w:pageBreakBefore w:val="0"/>
        <w:widowControl w:val="0"/>
        <w:kinsoku/>
        <w:wordWrap/>
        <w:overflowPunct/>
        <w:topLinePunct w:val="0"/>
        <w:autoSpaceDE/>
        <w:autoSpaceDN/>
        <w:bidi w:val="0"/>
        <w:adjustRightInd/>
        <w:snapToGrid/>
        <w:spacing w:line="324" w:lineRule="auto"/>
        <w:ind w:firstLine="480" w:firstLineChars="200"/>
        <w:textAlignment w:val="auto"/>
        <w:rPr>
          <w:rFonts w:hint="eastAsia" w:ascii="仿宋_GB2312" w:hAnsi="仿宋_GB2312" w:eastAsia="仿宋_GB2312" w:cs="仿宋_GB2312"/>
          <w:b w:val="0"/>
          <w:bCs w:val="0"/>
          <w:sz w:val="24"/>
          <w:szCs w:val="24"/>
        </w:rPr>
      </w:pPr>
      <w:r>
        <w:rPr>
          <w:rFonts w:hint="eastAsia" w:ascii="楷体_GB2312" w:hAnsi="楷体_GB2312" w:eastAsia="楷体_GB2312" w:cs="楷体_GB2312"/>
          <w:b w:val="0"/>
          <w:bCs w:val="0"/>
          <w:sz w:val="24"/>
          <w:szCs w:val="24"/>
        </w:rPr>
        <w:t>（二）强化技术支撑，加强规范指导。</w:t>
      </w:r>
      <w:r>
        <w:rPr>
          <w:rFonts w:hint="eastAsia" w:ascii="仿宋_GB2312" w:hAnsi="仿宋_GB2312" w:eastAsia="仿宋_GB2312" w:cs="仿宋_GB2312"/>
          <w:b w:val="0"/>
          <w:bCs w:val="0"/>
          <w:sz w:val="24"/>
          <w:szCs w:val="24"/>
        </w:rPr>
        <w:t>县农业农村局、县农能局要加强对“厕所革命”工作的监督管理和技术指导，负责提供户用厕所建设标准、施工图册和技术规范指导细则，县综合行政执法局负责公共厕所、旅游厕所。各镇要组织由村组具体负责人员和施工人员参加的“厕所革命”技术规范专业培训，确保“厕所革命”具体管理和施工人员掌握技术，按要求规范施工。</w:t>
      </w:r>
    </w:p>
    <w:p>
      <w:pPr>
        <w:keepNext w:val="0"/>
        <w:keepLines w:val="0"/>
        <w:pageBreakBefore w:val="0"/>
        <w:widowControl w:val="0"/>
        <w:kinsoku/>
        <w:wordWrap/>
        <w:overflowPunct/>
        <w:topLinePunct w:val="0"/>
        <w:autoSpaceDE/>
        <w:autoSpaceDN/>
        <w:bidi w:val="0"/>
        <w:adjustRightInd/>
        <w:snapToGrid/>
        <w:spacing w:line="324" w:lineRule="auto"/>
        <w:ind w:firstLine="480" w:firstLineChars="200"/>
        <w:textAlignment w:val="auto"/>
        <w:rPr>
          <w:rFonts w:hint="eastAsia" w:ascii="仿宋_GB2312" w:hAnsi="仿宋_GB2312" w:eastAsia="仿宋_GB2312" w:cs="仿宋_GB2312"/>
          <w:b w:val="0"/>
          <w:bCs w:val="0"/>
          <w:sz w:val="24"/>
          <w:szCs w:val="24"/>
        </w:rPr>
      </w:pPr>
      <w:r>
        <w:rPr>
          <w:rFonts w:hint="eastAsia" w:ascii="楷体_GB2312" w:hAnsi="楷体_GB2312" w:eastAsia="楷体_GB2312" w:cs="楷体_GB2312"/>
          <w:b w:val="0"/>
          <w:bCs w:val="0"/>
          <w:sz w:val="24"/>
          <w:szCs w:val="24"/>
        </w:rPr>
        <w:t>（三）同步加强粪污治理，解决粪污排放问题。</w:t>
      </w:r>
      <w:r>
        <w:rPr>
          <w:rFonts w:hint="eastAsia" w:ascii="仿宋_GB2312" w:hAnsi="仿宋_GB2312" w:eastAsia="仿宋_GB2312" w:cs="仿宋_GB2312"/>
          <w:b w:val="0"/>
          <w:bCs w:val="0"/>
          <w:sz w:val="24"/>
          <w:szCs w:val="24"/>
        </w:rPr>
        <w:t>将农村“厕所革命”与污水处理相结合，鼓励联户、联村、村镇一体治理。积极推动农村厕所粪污资源化利用，积极探索粪污肥料化、污水达标排放等经济实用技术模式，推行污水无动力处理、沼气发酵、堆肥和有机肥生产等方式，防止随意倾倒粪污，解决好粪污排放和利用问题。科学规划畜牧业和种植业发展布局，大力发展种养循环农业，以沼气和生物天然气为主要处理方向，以农用有机肥和农村能源为主要利用方向，深入推进畜禽养殖废弃物资源化利用，彻底解决粪污排放问题。</w:t>
      </w:r>
    </w:p>
    <w:p>
      <w:pPr>
        <w:keepNext w:val="0"/>
        <w:keepLines w:val="0"/>
        <w:pageBreakBefore w:val="0"/>
        <w:widowControl w:val="0"/>
        <w:kinsoku/>
        <w:wordWrap/>
        <w:overflowPunct/>
        <w:topLinePunct w:val="0"/>
        <w:autoSpaceDE/>
        <w:autoSpaceDN/>
        <w:bidi w:val="0"/>
        <w:adjustRightInd/>
        <w:snapToGrid/>
        <w:spacing w:line="324" w:lineRule="auto"/>
        <w:ind w:firstLine="645"/>
        <w:textAlignment w:val="auto"/>
        <w:rPr>
          <w:rFonts w:hint="eastAsia" w:ascii="仿宋_GB2312" w:hAnsi="仿宋_GB2312" w:eastAsia="仿宋_GB2312" w:cs="仿宋_GB2312"/>
          <w:sz w:val="24"/>
          <w:szCs w:val="24"/>
        </w:rPr>
      </w:pPr>
      <w:r>
        <w:rPr>
          <w:rFonts w:hint="eastAsia" w:ascii="楷体_GB2312" w:hAnsi="楷体_GB2312" w:eastAsia="楷体_GB2312" w:cs="楷体_GB2312"/>
          <w:b w:val="0"/>
          <w:bCs w:val="0"/>
          <w:sz w:val="24"/>
          <w:szCs w:val="24"/>
        </w:rPr>
        <w:t>（四）用好用活政策，实施好惠民工程。</w:t>
      </w:r>
      <w:r>
        <w:rPr>
          <w:rFonts w:hint="eastAsia" w:ascii="仿宋_GB2312" w:hAnsi="仿宋_GB2312" w:eastAsia="仿宋_GB2312" w:cs="仿宋_GB2312"/>
          <w:b w:val="0"/>
          <w:bCs w:val="0"/>
          <w:sz w:val="24"/>
          <w:szCs w:val="24"/>
        </w:rPr>
        <w:t>改厕模式上，由镇村与农户共同规划实施标准和工程内容，可以选择适合本地的三格化粪池、一池三改、户用沼气池、污水处理设施（站）等不同模式；群众愿意自筹，积极性高的，在不提高补助标准的基础上，可实施改房、改厨、改水、改线、改院等；畜禽饲养的农户要求建设沼气池，进行厕沼共治。建设模式上，建设中需要统一采购的设备，原则上以镇为单位，由改厕户委托镇人民政府统一组织采购，也可以采取不低于县统一制定的建设标准和质量要求，农户自主采购。</w:t>
      </w:r>
      <w:r>
        <w:rPr>
          <w:rFonts w:hint="eastAsia" w:ascii="仿宋_GB2312" w:hAnsi="仿宋_GB2312" w:eastAsia="仿宋_GB2312" w:cs="仿宋_GB2312"/>
          <w:sz w:val="24"/>
          <w:szCs w:val="24"/>
        </w:rPr>
        <w:t>施工方式上，</w:t>
      </w:r>
      <w:r>
        <w:rPr>
          <w:rFonts w:hint="eastAsia" w:ascii="仿宋_GB2312" w:hAnsi="仿宋_GB2312" w:eastAsia="仿宋_GB2312" w:cs="仿宋_GB2312"/>
          <w:sz w:val="24"/>
          <w:szCs w:val="24"/>
          <w:lang w:eastAsia="zh-CN"/>
        </w:rPr>
        <w:t>大力推行民办公助</w:t>
      </w:r>
      <w:r>
        <w:rPr>
          <w:rFonts w:hint="eastAsia" w:ascii="仿宋_GB2312" w:eastAsia="仿宋_GB2312" w:hAnsiTheme="minorHAnsi" w:cstheme="minorBidi"/>
          <w:kern w:val="2"/>
          <w:sz w:val="24"/>
          <w:szCs w:val="24"/>
        </w:rPr>
        <w:t>、以奖代补的方式</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原则上按照政府采购、招投标相关规定，以镇或村为单位，招标确定设备供应单位或施工单位，统一组织施工。</w:t>
      </w:r>
      <w:r>
        <w:rPr>
          <w:rFonts w:hint="eastAsia" w:ascii="仿宋_GB2312" w:hAnsi="仿宋_GB2312" w:eastAsia="仿宋_GB2312" w:cs="仿宋_GB2312"/>
          <w:b w:val="0"/>
          <w:bCs w:val="0"/>
          <w:sz w:val="24"/>
          <w:szCs w:val="24"/>
        </w:rPr>
        <w:t>验收方式上，镇村统一组织竣工验收，县相关部门根据情况组织随机抽验，抽验比率原则上不少于3‰，原则上一个镇抽验一次。</w:t>
      </w:r>
      <w:r>
        <w:rPr>
          <w:rFonts w:hint="eastAsia" w:ascii="仿宋_GB2312" w:hAnsi="仿宋_GB2312" w:eastAsia="仿宋_GB2312" w:cs="仿宋_GB2312"/>
          <w:sz w:val="24"/>
          <w:szCs w:val="24"/>
        </w:rPr>
        <w:t>结算方式上，</w:t>
      </w:r>
      <w:r>
        <w:rPr>
          <w:rFonts w:hint="eastAsia" w:ascii="仿宋_GB2312" w:hAnsi="仿宋_GB2312" w:eastAsia="仿宋_GB2312" w:cs="仿宋_GB2312"/>
          <w:sz w:val="24"/>
          <w:szCs w:val="24"/>
          <w:lang w:val="en-US" w:eastAsia="zh-CN"/>
        </w:rPr>
        <w:t>39个</w:t>
      </w:r>
      <w:r>
        <w:rPr>
          <w:rFonts w:hint="eastAsia" w:ascii="仿宋_GB2312" w:hAnsi="仿宋_GB2312" w:eastAsia="仿宋_GB2312" w:cs="仿宋_GB2312"/>
          <w:sz w:val="24"/>
          <w:szCs w:val="24"/>
          <w:lang w:eastAsia="zh-CN"/>
        </w:rPr>
        <w:t>省级“厕所革命”示范村，按照平均</w:t>
      </w:r>
      <w:r>
        <w:rPr>
          <w:rFonts w:hint="eastAsia" w:ascii="仿宋_GB2312" w:hAnsi="仿宋_GB2312" w:eastAsia="仿宋_GB2312" w:cs="仿宋_GB2312"/>
          <w:sz w:val="24"/>
          <w:szCs w:val="24"/>
          <w:lang w:val="en-US" w:eastAsia="zh-CN"/>
        </w:rPr>
        <w:t>2</w:t>
      </w:r>
      <w:r>
        <w:rPr>
          <w:rFonts w:hint="eastAsia" w:ascii="仿宋_GB2312" w:hAnsi="仿宋_GB2312" w:eastAsia="仿宋_GB2312" w:cs="仿宋_GB2312"/>
          <w:sz w:val="24"/>
          <w:szCs w:val="24"/>
        </w:rPr>
        <w:t>000元/户的标准</w:t>
      </w:r>
      <w:r>
        <w:rPr>
          <w:rFonts w:hint="eastAsia" w:ascii="仿宋_GB2312" w:eastAsia="仿宋_GB2312" w:hAnsiTheme="minorHAnsi" w:cstheme="minorBidi"/>
          <w:kern w:val="2"/>
          <w:sz w:val="24"/>
          <w:szCs w:val="24"/>
          <w:lang w:eastAsia="zh-CN"/>
        </w:rPr>
        <w:t>核算</w:t>
      </w:r>
      <w:r>
        <w:rPr>
          <w:rFonts w:hint="eastAsia" w:ascii="仿宋_GB2312" w:eastAsia="仿宋_GB2312" w:hAnsiTheme="minorHAnsi" w:cstheme="minorBidi"/>
          <w:kern w:val="2"/>
          <w:sz w:val="24"/>
          <w:szCs w:val="24"/>
        </w:rPr>
        <w:t>到镇</w:t>
      </w:r>
      <w:r>
        <w:rPr>
          <w:rFonts w:hint="eastAsia" w:ascii="仿宋_GB2312" w:hAnsi="仿宋_GB2312" w:eastAsia="仿宋_GB2312" w:cs="仿宋_GB2312"/>
          <w:sz w:val="24"/>
          <w:szCs w:val="24"/>
          <w:lang w:eastAsia="zh-CN"/>
        </w:rPr>
        <w:t>，进行无害化卫生厕所改造。其余的卫生厕所改造，</w:t>
      </w:r>
      <w:r>
        <w:rPr>
          <w:rFonts w:hint="eastAsia" w:ascii="仿宋_GB2312" w:hAnsi="仿宋_GB2312" w:eastAsia="仿宋_GB2312" w:cs="仿宋_GB2312"/>
          <w:sz w:val="24"/>
          <w:szCs w:val="24"/>
        </w:rPr>
        <w:t>按照</w:t>
      </w:r>
      <w:r>
        <w:rPr>
          <w:rFonts w:hint="eastAsia" w:ascii="仿宋_GB2312" w:hAnsi="仿宋_GB2312" w:eastAsia="仿宋_GB2312" w:cs="仿宋_GB2312"/>
          <w:sz w:val="24"/>
          <w:szCs w:val="24"/>
          <w:lang w:eastAsia="zh-CN"/>
        </w:rPr>
        <w:t>平均</w:t>
      </w:r>
      <w:r>
        <w:rPr>
          <w:rFonts w:hint="eastAsia" w:ascii="仿宋_GB2312" w:hAnsi="仿宋_GB2312" w:eastAsia="仿宋_GB2312" w:cs="仿宋_GB2312"/>
          <w:sz w:val="24"/>
          <w:szCs w:val="24"/>
        </w:rPr>
        <w:t>1000元/户的标准</w:t>
      </w:r>
      <w:r>
        <w:rPr>
          <w:rFonts w:hint="eastAsia" w:ascii="仿宋_GB2312" w:eastAsia="仿宋_GB2312" w:hAnsiTheme="minorHAnsi" w:cstheme="minorBidi"/>
          <w:kern w:val="2"/>
          <w:sz w:val="24"/>
          <w:szCs w:val="24"/>
          <w:lang w:eastAsia="zh-CN"/>
        </w:rPr>
        <w:t>核算</w:t>
      </w:r>
      <w:r>
        <w:rPr>
          <w:rFonts w:hint="eastAsia" w:ascii="仿宋_GB2312" w:eastAsia="仿宋_GB2312" w:hAnsiTheme="minorHAnsi" w:cstheme="minorBidi"/>
          <w:kern w:val="2"/>
          <w:sz w:val="24"/>
          <w:szCs w:val="24"/>
        </w:rPr>
        <w:t>到镇</w:t>
      </w:r>
      <w:r>
        <w:rPr>
          <w:rFonts w:hint="eastAsia" w:ascii="仿宋_GB2312" w:hAnsi="仿宋_GB2312" w:eastAsia="仿宋_GB2312" w:cs="仿宋_GB2312"/>
          <w:sz w:val="24"/>
          <w:szCs w:val="24"/>
          <w:lang w:eastAsia="zh-CN"/>
        </w:rPr>
        <w:t>。改造由</w:t>
      </w:r>
      <w:r>
        <w:rPr>
          <w:rFonts w:hint="eastAsia" w:ascii="仿宋_GB2312" w:hAnsi="仿宋_GB2312" w:eastAsia="仿宋_GB2312" w:cs="仿宋_GB2312"/>
          <w:sz w:val="24"/>
          <w:szCs w:val="24"/>
        </w:rPr>
        <w:t>镇村组织验收，待县级相关部门抽验合格</w:t>
      </w:r>
      <w:r>
        <w:rPr>
          <w:rFonts w:hint="eastAsia" w:ascii="仿宋_GB2312" w:hAnsi="仿宋_GB2312" w:eastAsia="仿宋_GB2312" w:cs="仿宋_GB2312"/>
          <w:sz w:val="24"/>
          <w:szCs w:val="24"/>
          <w:lang w:eastAsia="zh-CN"/>
        </w:rPr>
        <w:t>后</w:t>
      </w:r>
      <w:r>
        <w:rPr>
          <w:rFonts w:hint="eastAsia" w:ascii="仿宋_GB2312" w:hAnsi="仿宋_GB2312" w:eastAsia="仿宋_GB2312" w:cs="仿宋_GB2312"/>
          <w:sz w:val="24"/>
          <w:szCs w:val="24"/>
        </w:rPr>
        <w:t>，直接与施工方进行结算。报账方式上，县财政局将预算指标下达至各镇大平台，报账时，镇财政所按照国库集中支付管理办法、专项资金管理办法和资金预算安排，向县财政局申报直接支付用款计划并提供相关资料，县财政局相关业务股室审核通过后，由国库股进行拨付。资料归档上，相关原件资料均由各镇留档保存。</w:t>
      </w:r>
    </w:p>
    <w:p>
      <w:pPr>
        <w:keepNext w:val="0"/>
        <w:keepLines w:val="0"/>
        <w:pageBreakBefore w:val="0"/>
        <w:widowControl w:val="0"/>
        <w:kinsoku/>
        <w:wordWrap/>
        <w:overflowPunct/>
        <w:topLinePunct w:val="0"/>
        <w:autoSpaceDE/>
        <w:autoSpaceDN/>
        <w:bidi w:val="0"/>
        <w:adjustRightInd/>
        <w:snapToGrid/>
        <w:spacing w:line="324" w:lineRule="auto"/>
        <w:ind w:firstLine="480" w:firstLineChars="200"/>
        <w:textAlignment w:val="auto"/>
        <w:rPr>
          <w:rFonts w:hint="eastAsia" w:ascii="仿宋_GB2312" w:hAnsi="仿宋_GB2312" w:eastAsia="仿宋_GB2312" w:cs="仿宋_GB2312"/>
          <w:b w:val="0"/>
          <w:bCs w:val="0"/>
          <w:sz w:val="24"/>
          <w:szCs w:val="24"/>
        </w:rPr>
      </w:pPr>
      <w:r>
        <w:rPr>
          <w:rFonts w:hint="eastAsia" w:ascii="楷体_GB2312" w:hAnsi="楷体_GB2312" w:eastAsia="楷体_GB2312" w:cs="楷体_GB2312"/>
          <w:b w:val="0"/>
          <w:bCs w:val="0"/>
          <w:sz w:val="24"/>
          <w:szCs w:val="24"/>
        </w:rPr>
        <w:t>（五）强化宣传动员</w:t>
      </w:r>
      <w:r>
        <w:rPr>
          <w:rFonts w:hint="eastAsia" w:ascii="楷体_GB2312" w:hAnsi="楷体_GB2312" w:eastAsia="楷体_GB2312" w:cs="楷体_GB2312"/>
          <w:b w:val="0"/>
          <w:bCs w:val="0"/>
          <w:sz w:val="24"/>
          <w:szCs w:val="24"/>
          <w:lang w:eastAsia="zh-CN"/>
        </w:rPr>
        <w:t>，</w:t>
      </w:r>
      <w:r>
        <w:rPr>
          <w:rFonts w:hint="eastAsia" w:ascii="楷体_GB2312" w:hAnsi="楷体_GB2312" w:eastAsia="楷体_GB2312" w:cs="楷体_GB2312"/>
          <w:b w:val="0"/>
          <w:bCs w:val="0"/>
          <w:sz w:val="24"/>
          <w:szCs w:val="24"/>
        </w:rPr>
        <w:t>做实群众工作。</w:t>
      </w:r>
      <w:r>
        <w:rPr>
          <w:rFonts w:hint="eastAsia" w:ascii="仿宋_GB2312" w:hAnsi="仿宋_GB2312" w:eastAsia="仿宋_GB2312" w:cs="仿宋_GB2312"/>
          <w:b w:val="0"/>
          <w:bCs w:val="0"/>
          <w:sz w:val="24"/>
          <w:szCs w:val="24"/>
        </w:rPr>
        <w:t>充分利用各种宣传手段和途径，通过群众喜闻乐见的形式，大力宣传农村“厕所革命”的政策、实用模式以及对改善人居环境、提高农民生活质量和健康水平的重要作用。广泛号召群众参与到“厕所革命”项目规划、投工投劳投资、施工、厕具选择等工作中来，提高群众参与度和工作透明度。及时报道农村“厕所革命”工作的进展情况和经验做法，激发广大干部群众的积极性、创造性，探索创新提炼总结射洪农村“厕所革命”工作的经验和做法。</w:t>
      </w:r>
    </w:p>
    <w:p>
      <w:pPr>
        <w:keepNext w:val="0"/>
        <w:keepLines w:val="0"/>
        <w:pageBreakBefore w:val="0"/>
        <w:widowControl w:val="0"/>
        <w:kinsoku/>
        <w:wordWrap/>
        <w:overflowPunct/>
        <w:topLinePunct w:val="0"/>
        <w:autoSpaceDE/>
        <w:autoSpaceDN/>
        <w:bidi w:val="0"/>
        <w:adjustRightInd/>
        <w:snapToGrid/>
        <w:spacing w:line="324" w:lineRule="auto"/>
        <w:ind w:firstLine="640"/>
        <w:textAlignment w:val="auto"/>
        <w:rPr>
          <w:rFonts w:hint="eastAsia" w:ascii="仿宋_GB2312" w:hAnsi="仿宋_GB2312" w:eastAsia="仿宋_GB2312" w:cs="仿宋_GB2312"/>
          <w:b w:val="0"/>
          <w:bCs w:val="0"/>
          <w:sz w:val="24"/>
          <w:szCs w:val="24"/>
        </w:rPr>
      </w:pPr>
      <w:r>
        <w:rPr>
          <w:rFonts w:hint="eastAsia" w:ascii="楷体_GB2312" w:hAnsi="楷体_GB2312" w:eastAsia="楷体_GB2312" w:cs="楷体_GB2312"/>
          <w:b w:val="0"/>
          <w:bCs w:val="0"/>
          <w:sz w:val="24"/>
          <w:szCs w:val="24"/>
        </w:rPr>
        <w:t>（六）高度重视，逗硬督查考核。</w:t>
      </w:r>
      <w:r>
        <w:rPr>
          <w:rFonts w:hint="eastAsia" w:ascii="仿宋_GB2312" w:hAnsi="仿宋_GB2312" w:eastAsia="仿宋_GB2312" w:cs="仿宋_GB2312"/>
          <w:b w:val="0"/>
          <w:bCs w:val="0"/>
          <w:sz w:val="24"/>
          <w:szCs w:val="24"/>
        </w:rPr>
        <w:t>各镇要高度重视农村人居环境整治工作，充分认识改善农村人居环境的现实意义和工作要求。把农村人居环境整治工作纳入全年目标责任考核范围，建立科学的考核机制，年终逗硬考核奖惩。</w:t>
      </w:r>
    </w:p>
    <w:p>
      <w:pPr>
        <w:keepNext w:val="0"/>
        <w:keepLines w:val="0"/>
        <w:pageBreakBefore w:val="0"/>
        <w:widowControl w:val="0"/>
        <w:kinsoku/>
        <w:wordWrap/>
        <w:overflowPunct/>
        <w:topLinePunct w:val="0"/>
        <w:autoSpaceDE/>
        <w:autoSpaceDN/>
        <w:bidi w:val="0"/>
        <w:adjustRightInd/>
        <w:snapToGrid/>
        <w:spacing w:line="324" w:lineRule="auto"/>
        <w:ind w:firstLine="640"/>
        <w:textAlignment w:val="auto"/>
        <w:rPr>
          <w:rFonts w:hint="eastAsia" w:ascii="仿宋_GB2312" w:hAnsi="仿宋_GB2312" w:eastAsia="仿宋_GB2312" w:cs="仿宋_GB2312"/>
          <w:b w:val="0"/>
          <w:bCs w:val="0"/>
          <w:sz w:val="24"/>
          <w:szCs w:val="24"/>
        </w:rPr>
      </w:pPr>
      <w:r>
        <w:rPr>
          <w:rFonts w:hint="eastAsia" w:ascii="楷体_GB2312" w:hAnsi="楷体_GB2312" w:eastAsia="楷体_GB2312" w:cs="楷体_GB2312"/>
          <w:b w:val="0"/>
          <w:bCs w:val="0"/>
          <w:sz w:val="24"/>
          <w:szCs w:val="24"/>
        </w:rPr>
        <w:t>（七）严肃工作纪律，强化党风廉政建设。</w:t>
      </w:r>
      <w:r>
        <w:rPr>
          <w:rFonts w:hint="eastAsia" w:ascii="仿宋_GB2312" w:hAnsi="仿宋_GB2312" w:eastAsia="仿宋_GB2312" w:cs="仿宋_GB2312"/>
          <w:b w:val="0"/>
          <w:bCs w:val="0"/>
          <w:sz w:val="24"/>
          <w:szCs w:val="24"/>
        </w:rPr>
        <w:t>农村人居环境整治是关系农民群众切身利益的民生大事，必须依法依规，务实推进。在推进农村人居环境整治工作的过程中，要杜绝做表面文章、面子工程，警惕形式主义、官僚主义等现象。对在民生项目中捞油水、积民怨的人要依法严惩，对在项目推进中不依法依规，工程质量造假的，发现一起查处一起。</w:t>
      </w:r>
    </w:p>
    <w:p>
      <w:pPr>
        <w:keepNext w:val="0"/>
        <w:keepLines w:val="0"/>
        <w:pageBreakBefore w:val="0"/>
        <w:widowControl w:val="0"/>
        <w:kinsoku/>
        <w:wordWrap/>
        <w:overflowPunct/>
        <w:topLinePunct w:val="0"/>
        <w:autoSpaceDE/>
        <w:autoSpaceDN/>
        <w:bidi w:val="0"/>
        <w:adjustRightInd/>
        <w:snapToGrid/>
        <w:spacing w:line="324" w:lineRule="auto"/>
        <w:ind w:firstLine="640"/>
        <w:textAlignment w:val="auto"/>
        <w:rPr>
          <w:rFonts w:hint="eastAsia" w:ascii="仿宋_GB2312" w:hAnsi="仿宋_GB2312" w:eastAsia="仿宋_GB2312" w:cs="仿宋_GB2312"/>
          <w:b w:val="0"/>
          <w:bCs w:val="0"/>
          <w:sz w:val="24"/>
          <w:szCs w:val="24"/>
        </w:rPr>
      </w:pPr>
    </w:p>
    <w:p>
      <w:pPr>
        <w:keepNext w:val="0"/>
        <w:keepLines w:val="0"/>
        <w:pageBreakBefore w:val="0"/>
        <w:widowControl w:val="0"/>
        <w:kinsoku/>
        <w:wordWrap/>
        <w:overflowPunct/>
        <w:topLinePunct w:val="0"/>
        <w:autoSpaceDE/>
        <w:autoSpaceDN/>
        <w:bidi w:val="0"/>
        <w:adjustRightInd/>
        <w:snapToGrid/>
        <w:spacing w:line="324" w:lineRule="auto"/>
        <w:ind w:firstLine="640"/>
        <w:textAlignment w:val="auto"/>
        <w:rPr>
          <w:rFonts w:hint="eastAsia" w:ascii="仿宋_GB2312" w:hAnsi="仿宋_GB2312" w:eastAsia="仿宋_GB2312" w:cs="仿宋_GB2312"/>
          <w:b w:val="0"/>
          <w:bCs w:val="0"/>
          <w:sz w:val="24"/>
          <w:szCs w:val="24"/>
        </w:rPr>
      </w:pPr>
    </w:p>
    <w:p>
      <w:pPr>
        <w:keepNext w:val="0"/>
        <w:keepLines w:val="0"/>
        <w:pageBreakBefore w:val="0"/>
        <w:widowControl w:val="0"/>
        <w:kinsoku/>
        <w:wordWrap/>
        <w:overflowPunct/>
        <w:topLinePunct w:val="0"/>
        <w:autoSpaceDE/>
        <w:autoSpaceDN/>
        <w:bidi w:val="0"/>
        <w:adjustRightInd/>
        <w:snapToGrid/>
        <w:spacing w:line="324" w:lineRule="auto"/>
        <w:ind w:firstLine="640"/>
        <w:textAlignment w:val="auto"/>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附件：1.射洪</w:t>
      </w:r>
      <w:r>
        <w:rPr>
          <w:rFonts w:hint="eastAsia" w:ascii="仿宋_GB2312" w:hAnsi="仿宋_GB2312" w:eastAsia="仿宋_GB2312" w:cs="仿宋_GB2312"/>
          <w:b w:val="0"/>
          <w:bCs w:val="0"/>
          <w:sz w:val="24"/>
          <w:szCs w:val="24"/>
          <w:lang w:val="en-US" w:eastAsia="zh-CN"/>
        </w:rPr>
        <w:t>市</w:t>
      </w:r>
      <w:r>
        <w:rPr>
          <w:rFonts w:hint="eastAsia" w:ascii="仿宋_GB2312" w:hAnsi="仿宋_GB2312" w:eastAsia="仿宋_GB2312" w:cs="仿宋_GB2312"/>
          <w:b w:val="0"/>
          <w:bCs w:val="0"/>
          <w:sz w:val="24"/>
          <w:szCs w:val="24"/>
        </w:rPr>
        <w:t>2019年农村户用厕所改造任务表</w:t>
      </w:r>
    </w:p>
    <w:p>
      <w:pPr>
        <w:keepNext w:val="0"/>
        <w:keepLines w:val="0"/>
        <w:pageBreakBefore w:val="0"/>
        <w:widowControl w:val="0"/>
        <w:kinsoku/>
        <w:wordWrap/>
        <w:overflowPunct/>
        <w:topLinePunct w:val="0"/>
        <w:autoSpaceDE/>
        <w:autoSpaceDN/>
        <w:bidi w:val="0"/>
        <w:adjustRightInd/>
        <w:snapToGrid/>
        <w:spacing w:line="324" w:lineRule="auto"/>
        <w:ind w:firstLine="1200" w:firstLineChars="500"/>
        <w:textAlignment w:val="auto"/>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2.四川省农村卫生厕所达标标准</w:t>
      </w:r>
    </w:p>
    <w:p>
      <w:pPr>
        <w:keepNext w:val="0"/>
        <w:keepLines w:val="0"/>
        <w:pageBreakBefore w:val="0"/>
        <w:widowControl w:val="0"/>
        <w:kinsoku/>
        <w:wordWrap/>
        <w:overflowPunct/>
        <w:topLinePunct w:val="0"/>
        <w:autoSpaceDE/>
        <w:autoSpaceDN/>
        <w:bidi w:val="0"/>
        <w:adjustRightInd/>
        <w:snapToGrid/>
        <w:spacing w:line="324" w:lineRule="auto"/>
        <w:ind w:firstLine="1200" w:firstLineChars="500"/>
        <w:textAlignment w:val="auto"/>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3.射洪</w:t>
      </w:r>
      <w:r>
        <w:rPr>
          <w:rFonts w:hint="eastAsia" w:ascii="仿宋_GB2312" w:hAnsi="仿宋_GB2312" w:eastAsia="仿宋_GB2312" w:cs="仿宋_GB2312"/>
          <w:b w:val="0"/>
          <w:bCs w:val="0"/>
          <w:sz w:val="24"/>
          <w:szCs w:val="24"/>
          <w:lang w:val="en-US" w:eastAsia="zh-CN"/>
        </w:rPr>
        <w:t>市</w:t>
      </w:r>
      <w:r>
        <w:rPr>
          <w:rFonts w:hint="eastAsia" w:ascii="仿宋_GB2312" w:hAnsi="仿宋_GB2312" w:eastAsia="仿宋_GB2312" w:cs="仿宋_GB2312"/>
          <w:b w:val="0"/>
          <w:bCs w:val="0"/>
          <w:sz w:val="24"/>
          <w:szCs w:val="24"/>
        </w:rPr>
        <w:t>农村户用</w:t>
      </w:r>
      <w:r>
        <w:rPr>
          <w:rFonts w:hint="eastAsia" w:ascii="仿宋_GB2312" w:hAnsi="仿宋_GB2312" w:eastAsia="仿宋_GB2312" w:cs="仿宋_GB2312"/>
          <w:b w:val="0"/>
          <w:bCs w:val="0"/>
          <w:sz w:val="24"/>
          <w:szCs w:val="24"/>
          <w:lang w:eastAsia="zh-CN"/>
        </w:rPr>
        <w:t>无害化</w:t>
      </w:r>
      <w:r>
        <w:rPr>
          <w:rFonts w:hint="eastAsia" w:ascii="仿宋_GB2312" w:hAnsi="仿宋_GB2312" w:eastAsia="仿宋_GB2312" w:cs="仿宋_GB2312"/>
          <w:b w:val="0"/>
          <w:bCs w:val="0"/>
          <w:sz w:val="24"/>
          <w:szCs w:val="24"/>
        </w:rPr>
        <w:t>厕所改造技术标准</w:t>
      </w:r>
    </w:p>
    <w:p>
      <w:pPr>
        <w:keepNext w:val="0"/>
        <w:keepLines w:val="0"/>
        <w:pageBreakBefore w:val="0"/>
        <w:widowControl w:val="0"/>
        <w:kinsoku/>
        <w:wordWrap/>
        <w:overflowPunct/>
        <w:topLinePunct w:val="0"/>
        <w:autoSpaceDE/>
        <w:autoSpaceDN/>
        <w:bidi w:val="0"/>
        <w:adjustRightInd/>
        <w:snapToGrid/>
        <w:spacing w:line="324" w:lineRule="auto"/>
        <w:ind w:firstLine="1200" w:firstLineChars="500"/>
        <w:textAlignment w:val="auto"/>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4.射洪</w:t>
      </w:r>
      <w:r>
        <w:rPr>
          <w:rFonts w:hint="eastAsia" w:ascii="仿宋_GB2312" w:hAnsi="仿宋_GB2312" w:eastAsia="仿宋_GB2312" w:cs="仿宋_GB2312"/>
          <w:b w:val="0"/>
          <w:bCs w:val="0"/>
          <w:sz w:val="24"/>
          <w:szCs w:val="24"/>
          <w:lang w:val="en-US" w:eastAsia="zh-CN"/>
        </w:rPr>
        <w:t>市</w:t>
      </w:r>
      <w:r>
        <w:rPr>
          <w:rFonts w:hint="eastAsia" w:ascii="仿宋_GB2312" w:hAnsi="仿宋_GB2312" w:eastAsia="仿宋_GB2312" w:cs="仿宋_GB2312"/>
          <w:b w:val="0"/>
          <w:bCs w:val="0"/>
          <w:sz w:val="24"/>
          <w:szCs w:val="24"/>
        </w:rPr>
        <w:t>农村户用卫生厕所改造流程</w:t>
      </w:r>
    </w:p>
    <w:p>
      <w:pPr>
        <w:keepNext w:val="0"/>
        <w:keepLines w:val="0"/>
        <w:pageBreakBefore w:val="0"/>
        <w:widowControl w:val="0"/>
        <w:kinsoku/>
        <w:wordWrap/>
        <w:overflowPunct/>
        <w:topLinePunct w:val="0"/>
        <w:autoSpaceDE/>
        <w:autoSpaceDN/>
        <w:bidi w:val="0"/>
        <w:adjustRightInd/>
        <w:snapToGrid/>
        <w:spacing w:line="324" w:lineRule="auto"/>
        <w:ind w:firstLine="1200" w:firstLineChars="500"/>
        <w:textAlignment w:val="auto"/>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5.射洪</w:t>
      </w:r>
      <w:r>
        <w:rPr>
          <w:rFonts w:hint="eastAsia" w:ascii="仿宋_GB2312" w:hAnsi="仿宋_GB2312" w:eastAsia="仿宋_GB2312" w:cs="仿宋_GB2312"/>
          <w:b w:val="0"/>
          <w:bCs w:val="0"/>
          <w:sz w:val="24"/>
          <w:szCs w:val="24"/>
          <w:lang w:val="en-US" w:eastAsia="zh-CN"/>
        </w:rPr>
        <w:t>市</w:t>
      </w:r>
      <w:r>
        <w:rPr>
          <w:rFonts w:hint="eastAsia" w:ascii="仿宋_GB2312" w:hAnsi="仿宋_GB2312" w:eastAsia="仿宋_GB2312" w:cs="仿宋_GB2312"/>
          <w:b w:val="0"/>
          <w:bCs w:val="0"/>
          <w:sz w:val="24"/>
          <w:szCs w:val="24"/>
        </w:rPr>
        <w:t>农村户用卫生厕所改造申请书（统一模板）</w:t>
      </w:r>
    </w:p>
    <w:p>
      <w:pPr>
        <w:pStyle w:val="20"/>
        <w:keepNext w:val="0"/>
        <w:keepLines w:val="0"/>
        <w:pageBreakBefore w:val="0"/>
        <w:widowControl w:val="0"/>
        <w:kinsoku/>
        <w:wordWrap/>
        <w:overflowPunct/>
        <w:topLinePunct w:val="0"/>
        <w:autoSpaceDE/>
        <w:autoSpaceDN/>
        <w:bidi w:val="0"/>
        <w:adjustRightInd/>
        <w:snapToGrid/>
        <w:spacing w:after="0" w:line="324" w:lineRule="auto"/>
        <w:ind w:left="0" w:leftChars="0"/>
        <w:textAlignment w:val="auto"/>
        <w:rPr>
          <w:rFonts w:hint="eastAsia" w:ascii="仿宋_GB2312" w:hAnsi="仿宋_GB2312" w:eastAsia="仿宋_GB2312" w:cs="仿宋_GB2312"/>
          <w:b w:val="0"/>
          <w:bCs w:val="0"/>
          <w:sz w:val="24"/>
          <w:szCs w:val="24"/>
        </w:rPr>
      </w:pPr>
    </w:p>
    <w:p>
      <w:pPr>
        <w:pStyle w:val="20"/>
        <w:keepNext w:val="0"/>
        <w:keepLines w:val="0"/>
        <w:pageBreakBefore w:val="0"/>
        <w:widowControl w:val="0"/>
        <w:kinsoku/>
        <w:wordWrap/>
        <w:overflowPunct/>
        <w:topLinePunct w:val="0"/>
        <w:autoSpaceDE/>
        <w:autoSpaceDN/>
        <w:bidi w:val="0"/>
        <w:adjustRightInd/>
        <w:snapToGrid/>
        <w:spacing w:after="0" w:line="324" w:lineRule="auto"/>
        <w:ind w:left="0" w:leftChars="0" w:firstLine="0" w:firstLineChars="0"/>
        <w:jc w:val="center"/>
        <w:textAlignment w:val="auto"/>
        <w:rPr>
          <w:rFonts w:hint="eastAsia" w:ascii="仿宋_GB2312" w:hAnsi="仿宋_GB2312" w:eastAsia="仿宋_GB2312" w:cs="仿宋_GB2312"/>
          <w:b w:val="0"/>
          <w:bCs w:val="0"/>
          <w:w w:val="90"/>
          <w:sz w:val="24"/>
          <w:szCs w:val="24"/>
        </w:rPr>
      </w:pPr>
    </w:p>
    <w:p>
      <w:pPr>
        <w:spacing w:line="560" w:lineRule="exact"/>
        <w:ind w:left="0" w:leftChars="0" w:firstLine="0" w:firstLineChars="0"/>
        <w:jc w:val="left"/>
        <w:rPr>
          <w:rFonts w:hint="eastAsia" w:ascii="宋体" w:hAnsi="宋体" w:eastAsia="仿宋_GB2312" w:cs="宋体"/>
          <w:b w:val="0"/>
          <w:bCs w:val="0"/>
          <w:sz w:val="24"/>
          <w:szCs w:val="24"/>
        </w:rPr>
        <w:sectPr>
          <w:footerReference r:id="rId12" w:type="default"/>
          <w:pgSz w:w="11906" w:h="16838"/>
          <w:pgMar w:top="1803" w:right="1440" w:bottom="1803" w:left="1440" w:header="851" w:footer="992" w:gutter="0"/>
          <w:pgNumType w:fmt="decimal" w:start="1"/>
          <w:cols w:space="720" w:num="1"/>
          <w:rtlGutter w:val="0"/>
          <w:docGrid w:type="lines" w:linePitch="312" w:charSpace="0"/>
        </w:sectPr>
      </w:pPr>
    </w:p>
    <w:p>
      <w:pPr>
        <w:spacing w:line="560" w:lineRule="exact"/>
        <w:jc w:val="left"/>
        <w:rPr>
          <w:rFonts w:ascii="宋体" w:hAnsi="宋体" w:eastAsia="仿宋_GB2312" w:cs="宋体"/>
          <w:b w:val="0"/>
          <w:bCs w:val="0"/>
          <w:sz w:val="24"/>
          <w:szCs w:val="24"/>
        </w:rPr>
      </w:pPr>
      <w:r>
        <w:rPr>
          <w:rFonts w:hint="eastAsia" w:ascii="宋体" w:hAnsi="宋体" w:eastAsia="仿宋_GB2312" w:cs="宋体"/>
          <w:b w:val="0"/>
          <w:bCs w:val="0"/>
          <w:sz w:val="24"/>
          <w:szCs w:val="24"/>
        </w:rPr>
        <w:t>附件1</w:t>
      </w:r>
    </w:p>
    <w:p>
      <w:pPr>
        <w:pStyle w:val="20"/>
        <w:spacing w:after="0" w:line="560" w:lineRule="exact"/>
        <w:ind w:left="0" w:leftChars="0" w:firstLine="0" w:firstLineChars="0"/>
        <w:jc w:val="center"/>
        <w:rPr>
          <w:rFonts w:ascii="宋体" w:hAnsi="宋体" w:eastAsia="方正小标宋简体" w:cs="宋体"/>
          <w:b w:val="0"/>
          <w:bCs w:val="0"/>
          <w:w w:val="90"/>
          <w:sz w:val="24"/>
          <w:szCs w:val="24"/>
        </w:rPr>
      </w:pPr>
      <w:r>
        <w:rPr>
          <w:rFonts w:hint="eastAsia" w:ascii="方正小标宋简体" w:hAnsi="方正小标宋简体" w:eastAsia="方正小标宋简体" w:cs="方正小标宋简体"/>
          <w:b w:val="0"/>
          <w:bCs w:val="0"/>
          <w:w w:val="90"/>
          <w:sz w:val="24"/>
          <w:szCs w:val="24"/>
        </w:rPr>
        <w:t>射洪</w:t>
      </w:r>
      <w:r>
        <w:rPr>
          <w:rFonts w:hint="eastAsia" w:ascii="方正小标宋简体" w:hAnsi="方正小标宋简体" w:eastAsia="方正小标宋简体" w:cs="方正小标宋简体"/>
          <w:b w:val="0"/>
          <w:bCs w:val="0"/>
          <w:w w:val="90"/>
          <w:sz w:val="24"/>
          <w:szCs w:val="24"/>
          <w:lang w:val="en-US" w:eastAsia="zh-CN"/>
        </w:rPr>
        <w:t>市</w:t>
      </w:r>
      <w:r>
        <w:rPr>
          <w:rFonts w:hint="eastAsia" w:ascii="方正小标宋简体" w:hAnsi="方正小标宋简体" w:eastAsia="方正小标宋简体" w:cs="方正小标宋简体"/>
          <w:b w:val="0"/>
          <w:bCs w:val="0"/>
          <w:w w:val="90"/>
          <w:sz w:val="24"/>
          <w:szCs w:val="24"/>
        </w:rPr>
        <w:t>2019年农村户用厕所改造任务表</w:t>
      </w:r>
    </w:p>
    <w:tbl>
      <w:tblPr>
        <w:tblStyle w:val="21"/>
        <w:tblW w:w="8680" w:type="dxa"/>
        <w:tblInd w:w="0" w:type="dxa"/>
        <w:tblLayout w:type="fixed"/>
        <w:tblCellMar>
          <w:top w:w="0" w:type="dxa"/>
          <w:left w:w="0" w:type="dxa"/>
          <w:bottom w:w="0" w:type="dxa"/>
          <w:right w:w="0" w:type="dxa"/>
        </w:tblCellMar>
      </w:tblPr>
      <w:tblGrid>
        <w:gridCol w:w="2824"/>
        <w:gridCol w:w="2702"/>
        <w:gridCol w:w="3154"/>
      </w:tblGrid>
      <w:tr>
        <w:tblPrEx>
          <w:tblCellMar>
            <w:top w:w="0" w:type="dxa"/>
            <w:left w:w="0" w:type="dxa"/>
            <w:bottom w:w="0" w:type="dxa"/>
            <w:right w:w="0" w:type="dxa"/>
          </w:tblCellMar>
        </w:tblPrEx>
        <w:trPr>
          <w:trHeight w:val="855"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spacing w:line="320" w:lineRule="exact"/>
              <w:jc w:val="center"/>
              <w:textAlignment w:val="center"/>
              <w:rPr>
                <w:rFonts w:ascii="宋体" w:hAnsi="宋体" w:eastAsia="黑体" w:cs="宋体"/>
                <w:b w:val="0"/>
                <w:bCs w:val="0"/>
                <w:color w:val="000000"/>
                <w:sz w:val="24"/>
                <w:szCs w:val="24"/>
              </w:rPr>
            </w:pPr>
            <w:r>
              <w:rPr>
                <w:rFonts w:hint="eastAsia" w:ascii="宋体" w:hAnsi="宋体" w:eastAsia="黑体" w:cs="宋体"/>
                <w:b w:val="0"/>
                <w:bCs w:val="0"/>
                <w:color w:val="000000"/>
                <w:kern w:val="0"/>
                <w:sz w:val="24"/>
                <w:szCs w:val="24"/>
                <w:lang w:bidi="ar"/>
              </w:rPr>
              <w:t>乡镇</w:t>
            </w:r>
          </w:p>
        </w:tc>
        <w:tc>
          <w:tcPr>
            <w:tcW w:w="2702"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spacing w:line="320" w:lineRule="exact"/>
              <w:jc w:val="center"/>
              <w:textAlignment w:val="center"/>
              <w:rPr>
                <w:rFonts w:ascii="宋体" w:hAnsi="宋体" w:eastAsia="黑体" w:cs="宋体"/>
                <w:b w:val="0"/>
                <w:bCs w:val="0"/>
                <w:color w:val="000000"/>
                <w:sz w:val="24"/>
                <w:szCs w:val="24"/>
              </w:rPr>
            </w:pPr>
            <w:r>
              <w:rPr>
                <w:rFonts w:hint="eastAsia" w:ascii="宋体" w:hAnsi="宋体" w:eastAsia="黑体" w:cs="宋体"/>
                <w:b w:val="0"/>
                <w:bCs w:val="0"/>
                <w:color w:val="000000"/>
                <w:kern w:val="0"/>
                <w:sz w:val="24"/>
                <w:szCs w:val="24"/>
                <w:lang w:bidi="ar"/>
              </w:rPr>
              <w:t>总户数</w:t>
            </w:r>
          </w:p>
        </w:tc>
        <w:tc>
          <w:tcPr>
            <w:tcW w:w="315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spacing w:line="320" w:lineRule="exact"/>
              <w:jc w:val="center"/>
              <w:textAlignment w:val="center"/>
              <w:rPr>
                <w:rFonts w:ascii="宋体" w:hAnsi="宋体" w:eastAsia="黑体" w:cs="宋体"/>
                <w:b w:val="0"/>
                <w:bCs w:val="0"/>
                <w:color w:val="000000"/>
                <w:sz w:val="24"/>
                <w:szCs w:val="24"/>
              </w:rPr>
            </w:pPr>
            <w:r>
              <w:rPr>
                <w:rFonts w:hint="eastAsia" w:ascii="宋体" w:hAnsi="宋体" w:eastAsia="黑体" w:cs="宋体"/>
                <w:b w:val="0"/>
                <w:bCs w:val="0"/>
                <w:color w:val="000000"/>
                <w:kern w:val="0"/>
                <w:sz w:val="24"/>
                <w:szCs w:val="24"/>
                <w:lang w:bidi="ar"/>
              </w:rPr>
              <w:t>2019年任务数</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曹碑镇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6377</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2451</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东岳镇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9438</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3656</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官升镇</w:t>
            </w:r>
          </w:p>
        </w:tc>
        <w:tc>
          <w:tcPr>
            <w:tcW w:w="2702"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4752</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2474</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金华镇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11334</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5035</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金家镇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12262</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1932</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明星镇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8830</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1607</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青岗镇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9216</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4247</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仁和镇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10118</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3603</w:t>
            </w:r>
          </w:p>
        </w:tc>
      </w:tr>
      <w:tr>
        <w:tblPrEx>
          <w:tblCellMar>
            <w:top w:w="0" w:type="dxa"/>
            <w:left w:w="0" w:type="dxa"/>
            <w:bottom w:w="0" w:type="dxa"/>
            <w:right w:w="0" w:type="dxa"/>
          </w:tblCellMar>
        </w:tblPrEx>
        <w:trPr>
          <w:trHeight w:val="666"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武安镇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10474</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1718</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潼射镇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6436</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803</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文升镇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5377</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2508</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香山镇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4819</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1674</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洋溪镇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11917</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2780</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瞿河镇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14970</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6263</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广兴镇</w:t>
            </w:r>
          </w:p>
        </w:tc>
        <w:tc>
          <w:tcPr>
            <w:tcW w:w="2702"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8935</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3724</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涪西镇</w:t>
            </w:r>
          </w:p>
        </w:tc>
        <w:tc>
          <w:tcPr>
            <w:tcW w:w="2702"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5367</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1573</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太乙镇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11918</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3604</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复兴镇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10835</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1573</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天仙镇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11992</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3010</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沱牌镇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18981</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3706</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nil"/>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大榆镇</w:t>
            </w:r>
          </w:p>
        </w:tc>
        <w:tc>
          <w:tcPr>
            <w:tcW w:w="2702" w:type="dxa"/>
            <w:tcBorders>
              <w:top w:val="single" w:color="000000" w:sz="4" w:space="0"/>
              <w:left w:val="single" w:color="000000" w:sz="4" w:space="0"/>
              <w:bottom w:val="nil"/>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12993</w:t>
            </w:r>
          </w:p>
        </w:tc>
        <w:tc>
          <w:tcPr>
            <w:tcW w:w="3154" w:type="dxa"/>
            <w:tcBorders>
              <w:top w:val="single" w:color="000000" w:sz="4" w:space="0"/>
              <w:left w:val="single" w:color="000000" w:sz="4" w:space="0"/>
              <w:bottom w:val="nil"/>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6039</w:t>
            </w:r>
          </w:p>
        </w:tc>
      </w:tr>
      <w:tr>
        <w:tblPrEx>
          <w:tblCellMar>
            <w:top w:w="0" w:type="dxa"/>
            <w:left w:w="0" w:type="dxa"/>
            <w:bottom w:w="0" w:type="dxa"/>
            <w:right w:w="0" w:type="dxa"/>
          </w:tblCellMar>
        </w:tblPrEx>
        <w:trPr>
          <w:trHeight w:val="786"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auto"/>
                <w:kern w:val="0"/>
                <w:sz w:val="24"/>
                <w:szCs w:val="24"/>
                <w:u w:val="none"/>
                <w:lang w:val="en-US" w:eastAsia="zh-CN" w:bidi="ar"/>
              </w:rPr>
            </w:pPr>
            <w:r>
              <w:rPr>
                <w:rFonts w:hint="eastAsia" w:ascii="仿宋_GB2312" w:hAnsi="宋体" w:eastAsia="仿宋_GB2312" w:cs="仿宋_GB2312"/>
                <w:i w:val="0"/>
                <w:color w:val="auto"/>
                <w:kern w:val="0"/>
                <w:sz w:val="24"/>
                <w:szCs w:val="24"/>
                <w:u w:val="none"/>
                <w:lang w:val="en-US" w:eastAsia="zh-CN" w:bidi="ar"/>
              </w:rPr>
              <w:t>平安街道</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auto"/>
                <w:kern w:val="0"/>
                <w:sz w:val="24"/>
                <w:szCs w:val="24"/>
                <w:u w:val="none"/>
                <w:lang w:val="en-US" w:eastAsia="zh-CN" w:bidi="ar"/>
              </w:rPr>
            </w:pPr>
            <w:r>
              <w:rPr>
                <w:rFonts w:hint="eastAsia" w:ascii="仿宋_GB2312" w:hAnsi="宋体" w:eastAsia="仿宋_GB2312" w:cs="仿宋_GB2312"/>
                <w:i w:val="0"/>
                <w:color w:val="auto"/>
                <w:kern w:val="0"/>
                <w:sz w:val="24"/>
                <w:szCs w:val="24"/>
                <w:u w:val="none"/>
                <w:lang w:val="en-US" w:eastAsia="zh-CN" w:bidi="ar"/>
              </w:rPr>
              <w:t>996</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auto"/>
                <w:kern w:val="0"/>
                <w:sz w:val="24"/>
                <w:szCs w:val="24"/>
                <w:u w:val="none"/>
                <w:lang w:val="en-US" w:eastAsia="zh-CN" w:bidi="ar"/>
              </w:rPr>
            </w:pPr>
            <w:r>
              <w:rPr>
                <w:rFonts w:hint="eastAsia" w:ascii="仿宋_GB2312" w:hAnsi="宋体" w:eastAsia="仿宋_GB2312" w:cs="仿宋_GB2312"/>
                <w:i w:val="0"/>
                <w:color w:val="auto"/>
                <w:kern w:val="0"/>
                <w:sz w:val="24"/>
                <w:szCs w:val="24"/>
                <w:u w:val="none"/>
                <w:lang w:val="en-US" w:eastAsia="zh-CN" w:bidi="ar"/>
              </w:rPr>
              <w:t>140</w:t>
            </w:r>
          </w:p>
        </w:tc>
      </w:tr>
      <w:tr>
        <w:tblPrEx>
          <w:tblCellMar>
            <w:top w:w="0" w:type="dxa"/>
            <w:left w:w="0" w:type="dxa"/>
            <w:bottom w:w="0" w:type="dxa"/>
            <w:right w:w="0" w:type="dxa"/>
          </w:tblCellMar>
        </w:tblPrEx>
        <w:trPr>
          <w:trHeight w:val="786"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仿宋_GB2312" w:cs="宋体"/>
                <w:b w:val="0"/>
                <w:bCs w:val="0"/>
                <w:color w:val="auto"/>
                <w:kern w:val="0"/>
                <w:sz w:val="24"/>
                <w:szCs w:val="24"/>
                <w:lang w:bidi="ar"/>
              </w:rPr>
            </w:pPr>
            <w:r>
              <w:rPr>
                <w:rFonts w:hint="eastAsia" w:ascii="仿宋_GB2312" w:hAnsi="宋体" w:eastAsia="仿宋_GB2312" w:cs="仿宋_GB2312"/>
                <w:i w:val="0"/>
                <w:color w:val="auto"/>
                <w:kern w:val="0"/>
                <w:sz w:val="24"/>
                <w:szCs w:val="24"/>
                <w:u w:val="none"/>
                <w:lang w:val="en-US" w:eastAsia="zh-CN" w:bidi="ar"/>
              </w:rPr>
              <w:t>太和街道</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仿宋_GB2312" w:cs="宋体"/>
                <w:b w:val="0"/>
                <w:bCs w:val="0"/>
                <w:color w:val="auto"/>
                <w:kern w:val="0"/>
                <w:sz w:val="24"/>
                <w:szCs w:val="24"/>
                <w:lang w:bidi="ar"/>
              </w:rPr>
            </w:pPr>
            <w:r>
              <w:rPr>
                <w:rFonts w:hint="eastAsia" w:ascii="仿宋_GB2312" w:hAnsi="宋体" w:eastAsia="仿宋_GB2312" w:cs="仿宋_GB2312"/>
                <w:i w:val="0"/>
                <w:color w:val="auto"/>
                <w:kern w:val="0"/>
                <w:sz w:val="24"/>
                <w:szCs w:val="24"/>
                <w:u w:val="none"/>
                <w:lang w:val="en-US" w:eastAsia="zh-CN" w:bidi="ar"/>
              </w:rPr>
              <w:t>935</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仿宋_GB2312" w:cs="宋体"/>
                <w:b w:val="0"/>
                <w:bCs w:val="0"/>
                <w:color w:val="auto"/>
                <w:kern w:val="0"/>
                <w:sz w:val="24"/>
                <w:szCs w:val="24"/>
                <w:lang w:bidi="ar"/>
              </w:rPr>
            </w:pPr>
            <w:r>
              <w:rPr>
                <w:rFonts w:hint="eastAsia" w:ascii="仿宋_GB2312" w:hAnsi="宋体" w:eastAsia="仿宋_GB2312" w:cs="仿宋_GB2312"/>
                <w:i w:val="0"/>
                <w:color w:val="auto"/>
                <w:kern w:val="0"/>
                <w:sz w:val="24"/>
                <w:szCs w:val="24"/>
                <w:u w:val="none"/>
                <w:lang w:val="en-US" w:eastAsia="zh-CN" w:bidi="ar"/>
              </w:rPr>
              <w:t>280</w:t>
            </w:r>
          </w:p>
        </w:tc>
      </w:tr>
      <w:tr>
        <w:tblPrEx>
          <w:tblCellMar>
            <w:top w:w="0" w:type="dxa"/>
            <w:left w:w="0" w:type="dxa"/>
            <w:bottom w:w="0" w:type="dxa"/>
            <w:right w:w="0" w:type="dxa"/>
          </w:tblCellMar>
        </w:tblPrEx>
        <w:trPr>
          <w:trHeight w:val="694"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经开区</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9934</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200</w:t>
            </w:r>
          </w:p>
        </w:tc>
      </w:tr>
      <w:tr>
        <w:tblPrEx>
          <w:tblCellMar>
            <w:top w:w="0" w:type="dxa"/>
            <w:left w:w="0" w:type="dxa"/>
            <w:bottom w:w="0" w:type="dxa"/>
            <w:right w:w="0" w:type="dxa"/>
          </w:tblCellMar>
        </w:tblPrEx>
        <w:trPr>
          <w:trHeight w:val="786"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auto"/>
                <w:kern w:val="0"/>
                <w:sz w:val="24"/>
                <w:szCs w:val="24"/>
                <w:u w:val="none"/>
                <w:lang w:val="en-US" w:eastAsia="zh-CN" w:bidi="ar"/>
              </w:rPr>
            </w:pPr>
            <w:r>
              <w:rPr>
                <w:rFonts w:hint="eastAsia" w:ascii="仿宋_GB2312" w:hAnsi="宋体" w:eastAsia="仿宋_GB2312" w:cs="仿宋_GB2312"/>
                <w:i w:val="0"/>
                <w:color w:val="auto"/>
                <w:kern w:val="0"/>
                <w:sz w:val="24"/>
                <w:szCs w:val="24"/>
                <w:u w:val="none"/>
                <w:lang w:val="en-US" w:eastAsia="zh-CN" w:bidi="ar"/>
              </w:rPr>
              <w:t>合计</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auto"/>
                <w:kern w:val="0"/>
                <w:sz w:val="24"/>
                <w:szCs w:val="24"/>
                <w:u w:val="none"/>
                <w:lang w:val="en-US" w:eastAsia="zh-CN" w:bidi="ar"/>
              </w:rPr>
            </w:pPr>
            <w:r>
              <w:rPr>
                <w:rFonts w:hint="eastAsia" w:ascii="仿宋_GB2312" w:hAnsi="宋体" w:eastAsia="仿宋_GB2312" w:cs="仿宋_GB2312"/>
                <w:i w:val="0"/>
                <w:color w:val="auto"/>
                <w:kern w:val="0"/>
                <w:sz w:val="24"/>
                <w:szCs w:val="24"/>
                <w:u w:val="none"/>
                <w:lang w:val="en-US" w:eastAsia="zh-CN" w:bidi="ar"/>
              </w:rPr>
              <w:t>219206</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auto"/>
                <w:kern w:val="0"/>
                <w:sz w:val="24"/>
                <w:szCs w:val="24"/>
                <w:u w:val="none"/>
                <w:lang w:val="en-US" w:eastAsia="zh-CN" w:bidi="ar"/>
              </w:rPr>
            </w:pPr>
            <w:r>
              <w:rPr>
                <w:rFonts w:hint="eastAsia" w:ascii="仿宋_GB2312" w:hAnsi="宋体" w:eastAsia="仿宋_GB2312" w:cs="仿宋_GB2312"/>
                <w:i w:val="0"/>
                <w:color w:val="auto"/>
                <w:kern w:val="0"/>
                <w:sz w:val="24"/>
                <w:szCs w:val="24"/>
                <w:u w:val="none"/>
                <w:lang w:val="en-US" w:eastAsia="zh-CN" w:bidi="ar"/>
              </w:rPr>
              <w:t>64600</w:t>
            </w:r>
          </w:p>
        </w:tc>
      </w:tr>
    </w:tbl>
    <w:p>
      <w:pPr>
        <w:spacing w:line="560" w:lineRule="exact"/>
        <w:jc w:val="left"/>
        <w:rPr>
          <w:rFonts w:ascii="宋体" w:hAnsi="宋体" w:eastAsia="仿宋_GB2312" w:cs="宋体"/>
          <w:b w:val="0"/>
          <w:bCs w:val="0"/>
          <w:sz w:val="24"/>
          <w:szCs w:val="24"/>
        </w:rPr>
      </w:pPr>
      <w:r>
        <w:rPr>
          <w:rFonts w:hint="eastAsia" w:ascii="宋体" w:hAnsi="宋体" w:eastAsia="仿宋_GB2312" w:cs="宋体"/>
          <w:b w:val="0"/>
          <w:bCs w:val="0"/>
          <w:sz w:val="24"/>
          <w:szCs w:val="24"/>
        </w:rPr>
        <w:t>附件2</w:t>
      </w:r>
    </w:p>
    <w:p>
      <w:pPr>
        <w:spacing w:line="560" w:lineRule="exact"/>
        <w:jc w:val="center"/>
        <w:rPr>
          <w:rFonts w:hint="eastAsia" w:ascii="方正小标宋简体" w:hAnsi="方正小标宋简体" w:eastAsia="方正小标宋简体" w:cs="方正小标宋简体"/>
          <w:b w:val="0"/>
          <w:bCs w:val="0"/>
          <w:sz w:val="24"/>
          <w:szCs w:val="24"/>
        </w:rPr>
      </w:pPr>
      <w:r>
        <w:rPr>
          <w:rFonts w:hint="eastAsia" w:ascii="方正小标宋简体" w:hAnsi="方正小标宋简体" w:eastAsia="方正小标宋简体" w:cs="方正小标宋简体"/>
          <w:b w:val="0"/>
          <w:bCs w:val="0"/>
          <w:sz w:val="24"/>
          <w:szCs w:val="24"/>
        </w:rPr>
        <w:t>四川省农村无害化厕所达标标准</w:t>
      </w:r>
    </w:p>
    <w:p>
      <w:pPr>
        <w:spacing w:line="560" w:lineRule="exact"/>
        <w:jc w:val="left"/>
        <w:rPr>
          <w:rFonts w:hint="eastAsia" w:ascii="宋体" w:hAnsi="宋体" w:eastAsia="仿宋_GB2312" w:cs="宋体"/>
          <w:b w:val="0"/>
          <w:bCs w:val="0"/>
          <w:sz w:val="24"/>
          <w:szCs w:val="24"/>
        </w:rPr>
      </w:pP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jc w:val="left"/>
        <w:textAlignment w:val="auto"/>
        <w:rPr>
          <w:rFonts w:hint="eastAsia" w:ascii="宋体" w:hAnsi="宋体" w:eastAsia="仿宋_GB2312" w:cs="宋体"/>
          <w:b w:val="0"/>
          <w:bCs w:val="0"/>
          <w:sz w:val="24"/>
          <w:szCs w:val="24"/>
        </w:rPr>
      </w:pPr>
      <w:r>
        <w:rPr>
          <w:rFonts w:hint="eastAsia" w:ascii="黑体" w:hAnsi="黑体" w:eastAsia="黑体" w:cs="黑体"/>
          <w:b w:val="0"/>
          <w:bCs w:val="0"/>
          <w:sz w:val="24"/>
          <w:szCs w:val="24"/>
        </w:rPr>
        <w:t>一、无害化厕所室内标准。</w:t>
      </w:r>
      <w:r>
        <w:rPr>
          <w:rFonts w:hint="eastAsia" w:ascii="宋体" w:hAnsi="宋体" w:eastAsia="仿宋_GB2312" w:cs="宋体"/>
          <w:b w:val="0"/>
          <w:bCs w:val="0"/>
          <w:sz w:val="24"/>
          <w:szCs w:val="24"/>
        </w:rPr>
        <w:t>厕屋整体结构完整(有墙、有顶、有门),室内有标准便器、清洁卫生、无蝇蛆、基本无臭，贮粪池不渗、不漏、密闭有盖。</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jc w:val="left"/>
        <w:textAlignment w:val="auto"/>
        <w:rPr>
          <w:rFonts w:hint="eastAsia" w:ascii="宋体" w:hAnsi="宋体" w:eastAsia="仿宋_GB2312" w:cs="宋体"/>
          <w:b w:val="0"/>
          <w:bCs w:val="0"/>
          <w:sz w:val="24"/>
          <w:szCs w:val="24"/>
        </w:rPr>
      </w:pPr>
      <w:r>
        <w:rPr>
          <w:rFonts w:hint="eastAsia" w:ascii="黑体" w:hAnsi="黑体" w:eastAsia="黑体" w:cs="黑体"/>
          <w:b w:val="0"/>
          <w:bCs w:val="0"/>
          <w:sz w:val="24"/>
          <w:szCs w:val="24"/>
        </w:rPr>
        <w:t>二、无害化厕所粪污处理标准。</w:t>
      </w:r>
      <w:r>
        <w:rPr>
          <w:rFonts w:hint="eastAsia" w:ascii="宋体" w:hAnsi="宋体" w:eastAsia="仿宋_GB2312" w:cs="宋体"/>
          <w:b w:val="0"/>
          <w:bCs w:val="0"/>
          <w:sz w:val="24"/>
          <w:szCs w:val="24"/>
        </w:rPr>
        <w:t>具备有效降低粪便中生物性致病因子传染性的设施，处理后的粪污应达到无害化卫生要求，能够直接用于农业施肥等资源化利用。</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jc w:val="left"/>
        <w:textAlignment w:val="auto"/>
        <w:rPr>
          <w:rFonts w:ascii="宋体" w:hAnsi="宋体" w:eastAsia="仿宋_GB2312" w:cs="宋体"/>
          <w:b w:val="0"/>
          <w:bCs w:val="0"/>
          <w:sz w:val="24"/>
          <w:szCs w:val="24"/>
        </w:rPr>
      </w:pPr>
      <w:r>
        <w:rPr>
          <w:rFonts w:hint="eastAsia" w:ascii="黑体" w:hAnsi="黑体" w:eastAsia="黑体" w:cs="黑体"/>
          <w:b w:val="0"/>
          <w:bCs w:val="0"/>
          <w:sz w:val="24"/>
          <w:szCs w:val="24"/>
        </w:rPr>
        <w:t>三、后期维护管理机制。</w:t>
      </w:r>
      <w:r>
        <w:rPr>
          <w:rFonts w:hint="eastAsia" w:ascii="宋体" w:hAnsi="宋体" w:eastAsia="仿宋_GB2312" w:cs="宋体"/>
          <w:b w:val="0"/>
          <w:bCs w:val="0"/>
          <w:sz w:val="24"/>
          <w:szCs w:val="24"/>
        </w:rPr>
        <w:t>有符合当地实际情况的后期维护管理机制，能够长效保障无害化厕所的日常使用、维修维护、清掏清运和粪污利用等环节。</w:t>
      </w:r>
    </w:p>
    <w:p>
      <w:pPr>
        <w:spacing w:line="560" w:lineRule="exact"/>
        <w:jc w:val="left"/>
        <w:rPr>
          <w:rFonts w:hint="eastAsia" w:ascii="宋体" w:hAnsi="宋体" w:eastAsia="仿宋_GB2312" w:cs="宋体"/>
          <w:b w:val="0"/>
          <w:bCs w:val="0"/>
          <w:sz w:val="24"/>
          <w:szCs w:val="24"/>
        </w:rPr>
        <w:sectPr>
          <w:pgSz w:w="11906" w:h="16838"/>
          <w:pgMar w:top="1236" w:right="1440" w:bottom="1236" w:left="1440" w:header="851" w:footer="992" w:gutter="0"/>
          <w:pgNumType w:fmt="decimal"/>
          <w:cols w:space="720" w:num="1"/>
          <w:rtlGutter w:val="0"/>
          <w:docGrid w:type="lines" w:linePitch="312" w:charSpace="0"/>
        </w:sectPr>
      </w:pPr>
    </w:p>
    <w:p>
      <w:pPr>
        <w:spacing w:line="560" w:lineRule="exact"/>
        <w:ind w:left="0" w:leftChars="0" w:firstLine="0" w:firstLineChars="0"/>
        <w:jc w:val="left"/>
        <w:rPr>
          <w:rFonts w:ascii="宋体" w:hAnsi="宋体" w:eastAsia="仿宋_GB2312" w:cs="宋体"/>
          <w:b w:val="0"/>
          <w:bCs w:val="0"/>
          <w:sz w:val="24"/>
          <w:szCs w:val="24"/>
        </w:rPr>
      </w:pPr>
      <w:r>
        <w:rPr>
          <w:rFonts w:hint="eastAsia" w:ascii="宋体" w:hAnsi="宋体" w:eastAsia="仿宋_GB2312" w:cs="宋体"/>
          <w:b w:val="0"/>
          <w:bCs w:val="0"/>
          <w:sz w:val="24"/>
          <w:szCs w:val="24"/>
        </w:rPr>
        <w:t>附件3</w:t>
      </w:r>
    </w:p>
    <w:p>
      <w:pPr>
        <w:spacing w:line="560" w:lineRule="exact"/>
        <w:jc w:val="center"/>
        <w:rPr>
          <w:rFonts w:ascii="宋体" w:hAnsi="宋体" w:eastAsia="方正小标宋简体" w:cs="宋体"/>
          <w:b w:val="0"/>
          <w:bCs w:val="0"/>
          <w:sz w:val="24"/>
          <w:szCs w:val="24"/>
        </w:rPr>
      </w:pPr>
      <w:r>
        <w:rPr>
          <w:rFonts w:hint="eastAsia" w:ascii="宋体" w:hAnsi="宋体" w:eastAsia="方正小标宋简体" w:cs="宋体"/>
          <w:b w:val="0"/>
          <w:bCs w:val="0"/>
          <w:sz w:val="24"/>
          <w:szCs w:val="24"/>
        </w:rPr>
        <w:t>射洪</w:t>
      </w:r>
      <w:r>
        <w:rPr>
          <w:rFonts w:hint="eastAsia" w:ascii="宋体" w:hAnsi="宋体" w:eastAsia="方正小标宋简体" w:cs="宋体"/>
          <w:b w:val="0"/>
          <w:bCs w:val="0"/>
          <w:sz w:val="24"/>
          <w:szCs w:val="24"/>
          <w:lang w:val="en-US" w:eastAsia="zh-CN"/>
        </w:rPr>
        <w:t>市</w:t>
      </w:r>
      <w:r>
        <w:rPr>
          <w:rFonts w:hint="eastAsia" w:ascii="宋体" w:hAnsi="宋体" w:eastAsia="方正小标宋简体" w:cs="宋体"/>
          <w:b w:val="0"/>
          <w:bCs w:val="0"/>
          <w:sz w:val="24"/>
          <w:szCs w:val="24"/>
        </w:rPr>
        <w:t>农村户用</w:t>
      </w:r>
      <w:r>
        <w:rPr>
          <w:rFonts w:hint="eastAsia" w:ascii="宋体" w:hAnsi="宋体" w:eastAsia="方正小标宋简体" w:cs="宋体"/>
          <w:b w:val="0"/>
          <w:bCs w:val="0"/>
          <w:sz w:val="24"/>
          <w:szCs w:val="24"/>
          <w:lang w:eastAsia="zh-CN"/>
        </w:rPr>
        <w:t>无害化</w:t>
      </w:r>
      <w:r>
        <w:rPr>
          <w:rFonts w:hint="eastAsia" w:ascii="宋体" w:hAnsi="宋体" w:eastAsia="方正小标宋简体" w:cs="宋体"/>
          <w:b w:val="0"/>
          <w:bCs w:val="0"/>
          <w:sz w:val="24"/>
          <w:szCs w:val="24"/>
        </w:rPr>
        <w:t>厕所改造技术标准</w:t>
      </w:r>
    </w:p>
    <w:p>
      <w:pPr>
        <w:pStyle w:val="20"/>
        <w:spacing w:after="0" w:line="560" w:lineRule="exact"/>
        <w:ind w:left="0" w:leftChars="0"/>
        <w:rPr>
          <w:rFonts w:ascii="宋体" w:hAnsi="宋体" w:cs="宋体"/>
          <w:b w:val="0"/>
          <w:bCs w:val="0"/>
          <w:sz w:val="24"/>
          <w:szCs w:val="24"/>
        </w:rPr>
      </w:pPr>
    </w:p>
    <w:tbl>
      <w:tblPr>
        <w:tblStyle w:val="22"/>
        <w:tblW w:w="910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87"/>
        <w:gridCol w:w="1843"/>
        <w:gridCol w:w="2595"/>
        <w:gridCol w:w="31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trPr>
        <w:tc>
          <w:tcPr>
            <w:tcW w:w="1487" w:type="dxa"/>
            <w:noWrap w:val="0"/>
            <w:vAlign w:val="center"/>
          </w:tcPr>
          <w:p>
            <w:pPr>
              <w:pStyle w:val="20"/>
              <w:spacing w:after="0" w:line="560" w:lineRule="exact"/>
              <w:ind w:left="0" w:leftChars="0" w:firstLine="0" w:firstLineChars="0"/>
              <w:jc w:val="center"/>
              <w:rPr>
                <w:rFonts w:ascii="宋体" w:hAnsi="宋体" w:eastAsia="黑体" w:cs="宋体"/>
                <w:b w:val="0"/>
                <w:bCs w:val="0"/>
                <w:sz w:val="24"/>
                <w:szCs w:val="24"/>
              </w:rPr>
            </w:pPr>
            <w:r>
              <w:rPr>
                <w:rFonts w:hint="eastAsia" w:ascii="宋体" w:hAnsi="宋体" w:eastAsia="黑体" w:cs="宋体"/>
                <w:b w:val="0"/>
                <w:bCs w:val="0"/>
                <w:sz w:val="24"/>
                <w:szCs w:val="24"/>
              </w:rPr>
              <w:t>序号</w:t>
            </w:r>
          </w:p>
        </w:tc>
        <w:tc>
          <w:tcPr>
            <w:tcW w:w="1843" w:type="dxa"/>
            <w:noWrap w:val="0"/>
            <w:vAlign w:val="center"/>
          </w:tcPr>
          <w:p>
            <w:pPr>
              <w:pStyle w:val="20"/>
              <w:spacing w:after="0" w:line="560" w:lineRule="exact"/>
              <w:ind w:left="0" w:leftChars="0" w:firstLine="0" w:firstLineChars="0"/>
              <w:jc w:val="center"/>
              <w:rPr>
                <w:rFonts w:ascii="宋体" w:hAnsi="宋体" w:eastAsia="黑体" w:cs="宋体"/>
                <w:b w:val="0"/>
                <w:bCs w:val="0"/>
                <w:sz w:val="24"/>
                <w:szCs w:val="24"/>
              </w:rPr>
            </w:pPr>
            <w:r>
              <w:rPr>
                <w:rFonts w:hint="eastAsia" w:ascii="宋体" w:hAnsi="宋体" w:eastAsia="黑体" w:cs="宋体"/>
                <w:b w:val="0"/>
                <w:bCs w:val="0"/>
                <w:sz w:val="24"/>
                <w:szCs w:val="24"/>
              </w:rPr>
              <w:t>项目</w:t>
            </w:r>
          </w:p>
        </w:tc>
        <w:tc>
          <w:tcPr>
            <w:tcW w:w="2595" w:type="dxa"/>
            <w:noWrap w:val="0"/>
            <w:vAlign w:val="center"/>
          </w:tcPr>
          <w:p>
            <w:pPr>
              <w:pStyle w:val="20"/>
              <w:spacing w:after="0" w:line="320" w:lineRule="exact"/>
              <w:ind w:left="0" w:leftChars="0" w:firstLine="0" w:firstLineChars="0"/>
              <w:jc w:val="center"/>
              <w:rPr>
                <w:rFonts w:ascii="宋体" w:hAnsi="宋体" w:eastAsia="黑体" w:cs="宋体"/>
                <w:b w:val="0"/>
                <w:bCs w:val="0"/>
                <w:sz w:val="24"/>
                <w:szCs w:val="24"/>
              </w:rPr>
            </w:pPr>
            <w:r>
              <w:rPr>
                <w:rFonts w:hint="eastAsia" w:ascii="宋体" w:hAnsi="宋体" w:eastAsia="黑体" w:cs="宋体"/>
                <w:b w:val="0"/>
                <w:bCs w:val="0"/>
                <w:sz w:val="24"/>
                <w:szCs w:val="24"/>
              </w:rPr>
              <w:t>《GB 19379-2012》</w:t>
            </w:r>
          </w:p>
          <w:p>
            <w:pPr>
              <w:pStyle w:val="20"/>
              <w:spacing w:after="0" w:line="320" w:lineRule="exact"/>
              <w:ind w:left="0" w:leftChars="0" w:firstLine="0" w:firstLineChars="0"/>
              <w:jc w:val="center"/>
              <w:rPr>
                <w:rFonts w:ascii="宋体" w:hAnsi="宋体" w:eastAsia="黑体" w:cs="宋体"/>
                <w:b w:val="0"/>
                <w:bCs w:val="0"/>
                <w:sz w:val="24"/>
                <w:szCs w:val="24"/>
              </w:rPr>
            </w:pPr>
            <w:r>
              <w:rPr>
                <w:rFonts w:hint="eastAsia" w:ascii="宋体" w:hAnsi="宋体" w:eastAsia="黑体" w:cs="宋体"/>
                <w:b w:val="0"/>
                <w:bCs w:val="0"/>
                <w:sz w:val="24"/>
                <w:szCs w:val="24"/>
              </w:rPr>
              <w:t>国标要求部分指标</w:t>
            </w:r>
          </w:p>
        </w:tc>
        <w:tc>
          <w:tcPr>
            <w:tcW w:w="3175" w:type="dxa"/>
            <w:noWrap w:val="0"/>
            <w:vAlign w:val="center"/>
          </w:tcPr>
          <w:p>
            <w:pPr>
              <w:pStyle w:val="20"/>
              <w:spacing w:after="0" w:line="560" w:lineRule="exact"/>
              <w:ind w:left="0" w:leftChars="0" w:firstLine="480"/>
              <w:jc w:val="center"/>
              <w:rPr>
                <w:rFonts w:ascii="宋体" w:hAnsi="宋体" w:eastAsia="黑体" w:cs="宋体"/>
                <w:b w:val="0"/>
                <w:bCs w:val="0"/>
                <w:sz w:val="24"/>
                <w:szCs w:val="24"/>
              </w:rPr>
            </w:pPr>
            <w:r>
              <w:rPr>
                <w:rFonts w:hint="eastAsia" w:ascii="宋体" w:hAnsi="宋体" w:eastAsia="黑体" w:cs="宋体"/>
                <w:b w:val="0"/>
                <w:bCs w:val="0"/>
                <w:sz w:val="24"/>
                <w:szCs w:val="24"/>
              </w:rPr>
              <w:t>建议标准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trPr>
        <w:tc>
          <w:tcPr>
            <w:tcW w:w="1487"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1</w:t>
            </w:r>
          </w:p>
        </w:tc>
        <w:tc>
          <w:tcPr>
            <w:tcW w:w="1843" w:type="dxa"/>
            <w:noWrap w:val="0"/>
            <w:vAlign w:val="center"/>
          </w:tcPr>
          <w:p>
            <w:pPr>
              <w:pStyle w:val="20"/>
              <w:spacing w:after="0" w:line="400" w:lineRule="exact"/>
              <w:ind w:left="0" w:leftChars="0" w:firstLine="0" w:firstLineChars="0"/>
              <w:jc w:val="center"/>
              <w:rPr>
                <w:rFonts w:hint="eastAsia" w:ascii="宋体" w:hAnsi="宋体" w:eastAsia="仿宋_GB2312" w:cs="宋体"/>
                <w:b w:val="0"/>
                <w:bCs w:val="0"/>
                <w:sz w:val="24"/>
                <w:szCs w:val="24"/>
              </w:rPr>
            </w:pPr>
            <w:r>
              <w:rPr>
                <w:rFonts w:hint="eastAsia" w:ascii="宋体" w:hAnsi="宋体" w:eastAsia="仿宋_GB2312" w:cs="宋体"/>
                <w:b w:val="0"/>
                <w:bCs w:val="0"/>
                <w:sz w:val="24"/>
                <w:szCs w:val="24"/>
              </w:rPr>
              <w:t>厕屋面积（㎡）</w:t>
            </w:r>
          </w:p>
        </w:tc>
        <w:tc>
          <w:tcPr>
            <w:tcW w:w="259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≥1.2</w:t>
            </w:r>
          </w:p>
        </w:tc>
        <w:tc>
          <w:tcPr>
            <w:tcW w:w="3175" w:type="dxa"/>
            <w:noWrap w:val="0"/>
            <w:vAlign w:val="center"/>
          </w:tcPr>
          <w:p>
            <w:pPr>
              <w:widowControl/>
              <w:spacing w:line="560" w:lineRule="exact"/>
              <w:jc w:val="center"/>
              <w:textAlignment w:val="center"/>
              <w:rPr>
                <w:rFonts w:ascii="宋体" w:hAnsi="宋体" w:eastAsia="仿宋_GB2312" w:cs="宋体"/>
                <w:b w:val="0"/>
                <w:bCs w:val="0"/>
                <w:sz w:val="24"/>
                <w:szCs w:val="24"/>
              </w:rPr>
            </w:pPr>
            <w:r>
              <w:rPr>
                <w:rFonts w:hint="eastAsia" w:ascii="宋体" w:hAnsi="宋体" w:eastAsia="仿宋_GB2312" w:cs="宋体"/>
                <w:b w:val="0"/>
                <w:bCs w:val="0"/>
                <w:color w:val="000000"/>
                <w:kern w:val="0"/>
                <w:sz w:val="24"/>
                <w:szCs w:val="24"/>
                <w:lang w:bidi="ar"/>
              </w:rPr>
              <w:t>≤长(1.5)*宽(1.2)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trPr>
        <w:tc>
          <w:tcPr>
            <w:tcW w:w="1487"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2</w:t>
            </w:r>
          </w:p>
        </w:tc>
        <w:tc>
          <w:tcPr>
            <w:tcW w:w="1843" w:type="dxa"/>
            <w:noWrap w:val="0"/>
            <w:vAlign w:val="center"/>
          </w:tcPr>
          <w:p>
            <w:pPr>
              <w:pStyle w:val="20"/>
              <w:spacing w:after="0" w:line="400" w:lineRule="exact"/>
              <w:ind w:left="0" w:leftChars="0" w:firstLine="0" w:firstLineChars="0"/>
              <w:jc w:val="center"/>
              <w:rPr>
                <w:rFonts w:hint="eastAsia" w:ascii="宋体" w:hAnsi="宋体" w:eastAsia="仿宋_GB2312" w:cs="宋体"/>
                <w:b w:val="0"/>
                <w:bCs w:val="0"/>
                <w:sz w:val="24"/>
                <w:szCs w:val="24"/>
              </w:rPr>
            </w:pPr>
            <w:r>
              <w:rPr>
                <w:rFonts w:hint="eastAsia" w:ascii="宋体" w:hAnsi="宋体" w:eastAsia="仿宋_GB2312" w:cs="宋体"/>
                <w:b w:val="0"/>
                <w:bCs w:val="0"/>
                <w:sz w:val="24"/>
                <w:szCs w:val="24"/>
              </w:rPr>
              <w:t>厕屋净高/m</w:t>
            </w:r>
          </w:p>
        </w:tc>
        <w:tc>
          <w:tcPr>
            <w:tcW w:w="259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≥2</w:t>
            </w:r>
          </w:p>
        </w:tc>
        <w:tc>
          <w:tcPr>
            <w:tcW w:w="317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color w:val="000000"/>
                <w:kern w:val="0"/>
                <w:sz w:val="24"/>
                <w:szCs w:val="24"/>
                <w:lang w:bidi="ar"/>
              </w:rPr>
              <w:t>≤原址加高12墙（新砌）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atLeast"/>
        </w:trPr>
        <w:tc>
          <w:tcPr>
            <w:tcW w:w="1487"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3</w:t>
            </w:r>
          </w:p>
        </w:tc>
        <w:tc>
          <w:tcPr>
            <w:tcW w:w="1843" w:type="dxa"/>
            <w:noWrap w:val="0"/>
            <w:vAlign w:val="center"/>
          </w:tcPr>
          <w:p>
            <w:pPr>
              <w:pStyle w:val="20"/>
              <w:spacing w:after="0" w:line="400" w:lineRule="exact"/>
              <w:ind w:left="0" w:leftChars="0" w:firstLine="0" w:firstLineChars="0"/>
              <w:jc w:val="center"/>
              <w:rPr>
                <w:rFonts w:hint="eastAsia" w:ascii="宋体" w:hAnsi="宋体" w:eastAsia="仿宋_GB2312" w:cs="宋体"/>
                <w:b w:val="0"/>
                <w:bCs w:val="0"/>
                <w:sz w:val="24"/>
                <w:szCs w:val="24"/>
              </w:rPr>
            </w:pPr>
            <w:r>
              <w:rPr>
                <w:rFonts w:hint="eastAsia" w:ascii="宋体" w:hAnsi="宋体" w:eastAsia="仿宋_GB2312" w:cs="宋体"/>
                <w:b w:val="0"/>
                <w:bCs w:val="0"/>
                <w:sz w:val="24"/>
                <w:szCs w:val="24"/>
              </w:rPr>
              <w:t>厕屋顶</w:t>
            </w:r>
          </w:p>
        </w:tc>
        <w:tc>
          <w:tcPr>
            <w:tcW w:w="259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有</w:t>
            </w:r>
          </w:p>
        </w:tc>
        <w:tc>
          <w:tcPr>
            <w:tcW w:w="317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防雨、轻体，雨水不流入贮粪池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trPr>
        <w:tc>
          <w:tcPr>
            <w:tcW w:w="1487"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4</w:t>
            </w:r>
          </w:p>
        </w:tc>
        <w:tc>
          <w:tcPr>
            <w:tcW w:w="1843" w:type="dxa"/>
            <w:noWrap w:val="0"/>
            <w:vAlign w:val="center"/>
          </w:tcPr>
          <w:p>
            <w:pPr>
              <w:pStyle w:val="20"/>
              <w:spacing w:after="0" w:line="400" w:lineRule="exact"/>
              <w:ind w:left="0" w:leftChars="0" w:firstLine="0" w:firstLineChars="0"/>
              <w:jc w:val="center"/>
              <w:rPr>
                <w:rFonts w:hint="eastAsia" w:ascii="宋体" w:hAnsi="宋体" w:eastAsia="仿宋_GB2312" w:cs="宋体"/>
                <w:b w:val="0"/>
                <w:bCs w:val="0"/>
                <w:sz w:val="24"/>
                <w:szCs w:val="24"/>
              </w:rPr>
            </w:pPr>
            <w:r>
              <w:rPr>
                <w:rFonts w:hint="eastAsia" w:ascii="宋体" w:hAnsi="宋体" w:eastAsia="仿宋_GB2312" w:cs="宋体"/>
                <w:b w:val="0"/>
                <w:bCs w:val="0"/>
                <w:sz w:val="24"/>
                <w:szCs w:val="24"/>
              </w:rPr>
              <w:t>人工照明/lx</w:t>
            </w:r>
          </w:p>
        </w:tc>
        <w:tc>
          <w:tcPr>
            <w:tcW w:w="259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≥40</w:t>
            </w:r>
          </w:p>
        </w:tc>
        <w:tc>
          <w:tcPr>
            <w:tcW w:w="317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安装照明灯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trPr>
        <w:tc>
          <w:tcPr>
            <w:tcW w:w="1487"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5</w:t>
            </w:r>
          </w:p>
        </w:tc>
        <w:tc>
          <w:tcPr>
            <w:tcW w:w="1843" w:type="dxa"/>
            <w:noWrap w:val="0"/>
            <w:vAlign w:val="center"/>
          </w:tcPr>
          <w:p>
            <w:pPr>
              <w:pStyle w:val="20"/>
              <w:spacing w:after="0" w:line="400" w:lineRule="exact"/>
              <w:ind w:left="0" w:leftChars="0" w:firstLine="0" w:firstLineChars="0"/>
              <w:jc w:val="center"/>
              <w:rPr>
                <w:rFonts w:hint="eastAsia" w:ascii="宋体" w:hAnsi="宋体" w:eastAsia="仿宋_GB2312" w:cs="宋体"/>
                <w:b w:val="0"/>
                <w:bCs w:val="0"/>
                <w:sz w:val="24"/>
                <w:szCs w:val="24"/>
              </w:rPr>
            </w:pPr>
            <w:r>
              <w:rPr>
                <w:rFonts w:hint="eastAsia" w:ascii="宋体" w:hAnsi="宋体" w:eastAsia="仿宋_GB2312" w:cs="宋体"/>
                <w:b w:val="0"/>
                <w:bCs w:val="0"/>
                <w:sz w:val="24"/>
                <w:szCs w:val="24"/>
              </w:rPr>
              <w:t>通风设备</w:t>
            </w:r>
          </w:p>
        </w:tc>
        <w:tc>
          <w:tcPr>
            <w:tcW w:w="259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自然或机械通风</w:t>
            </w:r>
          </w:p>
        </w:tc>
        <w:tc>
          <w:tcPr>
            <w:tcW w:w="317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有条件可自行安装换气扇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trPr>
        <w:tc>
          <w:tcPr>
            <w:tcW w:w="1487"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6</w:t>
            </w:r>
          </w:p>
        </w:tc>
        <w:tc>
          <w:tcPr>
            <w:tcW w:w="1843" w:type="dxa"/>
            <w:noWrap w:val="0"/>
            <w:vAlign w:val="center"/>
          </w:tcPr>
          <w:p>
            <w:pPr>
              <w:pStyle w:val="20"/>
              <w:spacing w:after="0" w:line="400" w:lineRule="exact"/>
              <w:ind w:left="0" w:leftChars="0" w:firstLine="0" w:firstLineChars="0"/>
              <w:jc w:val="center"/>
              <w:rPr>
                <w:rFonts w:hint="eastAsia" w:ascii="宋体" w:hAnsi="宋体" w:eastAsia="仿宋_GB2312" w:cs="宋体"/>
                <w:b w:val="0"/>
                <w:bCs w:val="0"/>
                <w:sz w:val="24"/>
                <w:szCs w:val="24"/>
              </w:rPr>
            </w:pPr>
            <w:r>
              <w:rPr>
                <w:rFonts w:hint="eastAsia" w:ascii="宋体" w:hAnsi="宋体" w:eastAsia="仿宋_GB2312" w:cs="宋体"/>
                <w:b w:val="0"/>
                <w:bCs w:val="0"/>
                <w:sz w:val="24"/>
                <w:szCs w:val="24"/>
              </w:rPr>
              <w:t>便</w:t>
            </w:r>
            <w:r>
              <w:rPr>
                <w:rFonts w:hint="eastAsia" w:ascii="宋体" w:hAnsi="宋体" w:eastAsia="仿宋_GB2312" w:cs="宋体"/>
                <w:b w:val="0"/>
                <w:bCs w:val="0"/>
                <w:sz w:val="24"/>
                <w:szCs w:val="24"/>
                <w:lang w:val="en-US" w:eastAsia="zh-CN"/>
              </w:rPr>
              <w:t xml:space="preserve">  </w:t>
            </w:r>
            <w:r>
              <w:rPr>
                <w:rFonts w:hint="eastAsia" w:ascii="宋体" w:hAnsi="宋体" w:eastAsia="仿宋_GB2312" w:cs="宋体"/>
                <w:b w:val="0"/>
                <w:bCs w:val="0"/>
                <w:sz w:val="24"/>
                <w:szCs w:val="24"/>
              </w:rPr>
              <w:t>器</w:t>
            </w:r>
          </w:p>
        </w:tc>
        <w:tc>
          <w:tcPr>
            <w:tcW w:w="259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陶瓷材质坐便器或蹲便器</w:t>
            </w:r>
          </w:p>
        </w:tc>
        <w:tc>
          <w:tcPr>
            <w:tcW w:w="3175" w:type="dxa"/>
            <w:noWrap w:val="0"/>
            <w:vAlign w:val="center"/>
          </w:tcPr>
          <w:p>
            <w:pPr>
              <w:pStyle w:val="20"/>
              <w:spacing w:after="0" w:line="560" w:lineRule="exact"/>
              <w:ind w:left="0" w:leftChars="0" w:firstLine="0" w:firstLineChars="0"/>
              <w:jc w:val="center"/>
              <w:rPr>
                <w:rFonts w:ascii="宋体" w:hAnsi="宋体" w:eastAsia="仿宋_GB2312" w:cs="宋体"/>
                <w:b w:val="0"/>
                <w:bCs w:val="0"/>
                <w:color w:val="000000"/>
                <w:kern w:val="0"/>
                <w:sz w:val="24"/>
                <w:szCs w:val="24"/>
                <w:lang w:bidi="ar"/>
              </w:rPr>
            </w:pPr>
            <w:r>
              <w:rPr>
                <w:rFonts w:hint="eastAsia" w:ascii="宋体" w:hAnsi="宋体" w:eastAsia="仿宋_GB2312" w:cs="宋体"/>
                <w:b w:val="0"/>
                <w:bCs w:val="0"/>
                <w:sz w:val="24"/>
                <w:szCs w:val="24"/>
              </w:rPr>
              <w:t>固定安装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trPr>
        <w:tc>
          <w:tcPr>
            <w:tcW w:w="1487"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7</w:t>
            </w:r>
          </w:p>
        </w:tc>
        <w:tc>
          <w:tcPr>
            <w:tcW w:w="1843" w:type="dxa"/>
            <w:noWrap w:val="0"/>
            <w:vAlign w:val="center"/>
          </w:tcPr>
          <w:p>
            <w:pPr>
              <w:pStyle w:val="20"/>
              <w:spacing w:after="0" w:line="400" w:lineRule="exact"/>
              <w:ind w:left="0" w:leftChars="0" w:firstLine="0" w:firstLineChars="0"/>
              <w:jc w:val="center"/>
              <w:rPr>
                <w:rFonts w:hint="eastAsia" w:ascii="宋体" w:hAnsi="宋体" w:eastAsia="仿宋_GB2312" w:cs="宋体"/>
                <w:b w:val="0"/>
                <w:bCs w:val="0"/>
                <w:sz w:val="24"/>
                <w:szCs w:val="24"/>
              </w:rPr>
            </w:pPr>
            <w:r>
              <w:rPr>
                <w:rFonts w:hint="eastAsia" w:ascii="宋体" w:hAnsi="宋体" w:eastAsia="仿宋_GB2312" w:cs="宋体"/>
                <w:b w:val="0"/>
                <w:bCs w:val="0"/>
                <w:sz w:val="24"/>
                <w:szCs w:val="24"/>
              </w:rPr>
              <w:t>冲水设备</w:t>
            </w:r>
          </w:p>
        </w:tc>
        <w:tc>
          <w:tcPr>
            <w:tcW w:w="259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有</w:t>
            </w:r>
          </w:p>
        </w:tc>
        <w:tc>
          <w:tcPr>
            <w:tcW w:w="317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color w:val="000000"/>
                <w:kern w:val="0"/>
                <w:sz w:val="24"/>
                <w:szCs w:val="24"/>
                <w:lang w:bidi="ar"/>
              </w:rPr>
              <w:t>安装固定水箱或容器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trPr>
        <w:tc>
          <w:tcPr>
            <w:tcW w:w="1487"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8</w:t>
            </w:r>
          </w:p>
        </w:tc>
        <w:tc>
          <w:tcPr>
            <w:tcW w:w="1843" w:type="dxa"/>
            <w:noWrap w:val="0"/>
            <w:vAlign w:val="center"/>
          </w:tcPr>
          <w:p>
            <w:pPr>
              <w:pStyle w:val="20"/>
              <w:spacing w:after="0" w:line="400" w:lineRule="exact"/>
              <w:ind w:left="0" w:leftChars="0" w:firstLine="0" w:firstLineChars="0"/>
              <w:jc w:val="center"/>
              <w:rPr>
                <w:rFonts w:hint="eastAsia" w:ascii="宋体" w:hAnsi="宋体" w:eastAsia="仿宋_GB2312" w:cs="宋体"/>
                <w:b w:val="0"/>
                <w:bCs w:val="0"/>
                <w:sz w:val="24"/>
                <w:szCs w:val="24"/>
              </w:rPr>
            </w:pPr>
            <w:r>
              <w:rPr>
                <w:rFonts w:hint="eastAsia" w:ascii="宋体" w:hAnsi="宋体" w:eastAsia="仿宋_GB2312" w:cs="宋体"/>
                <w:b w:val="0"/>
                <w:bCs w:val="0"/>
                <w:sz w:val="24"/>
                <w:szCs w:val="24"/>
              </w:rPr>
              <w:t>厕屋地面</w:t>
            </w:r>
          </w:p>
        </w:tc>
        <w:tc>
          <w:tcPr>
            <w:tcW w:w="259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硬化处理</w:t>
            </w:r>
          </w:p>
        </w:tc>
        <w:tc>
          <w:tcPr>
            <w:tcW w:w="317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color w:val="000000"/>
                <w:kern w:val="0"/>
                <w:sz w:val="24"/>
                <w:szCs w:val="24"/>
                <w:lang w:bidi="ar"/>
              </w:rPr>
              <w:t>地面贴砖或混凝土硬化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6" w:hRule="atLeast"/>
        </w:trPr>
        <w:tc>
          <w:tcPr>
            <w:tcW w:w="1487"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9</w:t>
            </w:r>
          </w:p>
        </w:tc>
        <w:tc>
          <w:tcPr>
            <w:tcW w:w="1843" w:type="dxa"/>
            <w:noWrap w:val="0"/>
            <w:vAlign w:val="center"/>
          </w:tcPr>
          <w:p>
            <w:pPr>
              <w:pStyle w:val="20"/>
              <w:spacing w:after="0" w:line="400" w:lineRule="exact"/>
              <w:ind w:left="0" w:leftChars="0" w:firstLine="0" w:firstLineChars="0"/>
              <w:jc w:val="center"/>
              <w:rPr>
                <w:rFonts w:hint="eastAsia" w:ascii="宋体" w:hAnsi="宋体" w:eastAsia="仿宋_GB2312" w:cs="宋体"/>
                <w:b w:val="0"/>
                <w:bCs w:val="0"/>
                <w:sz w:val="24"/>
                <w:szCs w:val="24"/>
              </w:rPr>
            </w:pPr>
            <w:r>
              <w:rPr>
                <w:rFonts w:hint="eastAsia" w:ascii="宋体" w:hAnsi="宋体" w:eastAsia="仿宋_GB2312" w:cs="宋体"/>
                <w:b w:val="0"/>
                <w:bCs w:val="0"/>
                <w:sz w:val="24"/>
                <w:szCs w:val="24"/>
              </w:rPr>
              <w:t>卫生设施</w:t>
            </w:r>
          </w:p>
        </w:tc>
        <w:tc>
          <w:tcPr>
            <w:tcW w:w="2595" w:type="dxa"/>
            <w:noWrap w:val="0"/>
            <w:vAlign w:val="center"/>
          </w:tcPr>
          <w:p>
            <w:pPr>
              <w:pStyle w:val="20"/>
              <w:spacing w:after="0" w:line="40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室内有专用清扫工具、盛放手纸容器</w:t>
            </w:r>
          </w:p>
        </w:tc>
        <w:tc>
          <w:tcPr>
            <w:tcW w:w="3175" w:type="dxa"/>
            <w:noWrap w:val="0"/>
            <w:vAlign w:val="center"/>
          </w:tcPr>
          <w:p>
            <w:pPr>
              <w:pStyle w:val="20"/>
              <w:spacing w:after="0" w:line="40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自行购置相关设备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trPr>
        <w:tc>
          <w:tcPr>
            <w:tcW w:w="1487"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10</w:t>
            </w:r>
          </w:p>
        </w:tc>
        <w:tc>
          <w:tcPr>
            <w:tcW w:w="1843" w:type="dxa"/>
            <w:noWrap w:val="0"/>
            <w:vAlign w:val="center"/>
          </w:tcPr>
          <w:p>
            <w:pPr>
              <w:pStyle w:val="20"/>
              <w:spacing w:after="0" w:line="400" w:lineRule="exact"/>
              <w:ind w:left="0" w:leftChars="0" w:firstLine="0" w:firstLineChars="0"/>
              <w:jc w:val="center"/>
              <w:rPr>
                <w:rFonts w:hint="eastAsia" w:ascii="宋体" w:hAnsi="宋体" w:eastAsia="仿宋_GB2312" w:cs="宋体"/>
                <w:b w:val="0"/>
                <w:bCs w:val="0"/>
                <w:sz w:val="24"/>
                <w:szCs w:val="24"/>
              </w:rPr>
            </w:pPr>
            <w:r>
              <w:rPr>
                <w:rFonts w:hint="eastAsia" w:ascii="宋体" w:hAnsi="宋体" w:eastAsia="仿宋_GB2312" w:cs="宋体"/>
                <w:b w:val="0"/>
                <w:bCs w:val="0"/>
                <w:sz w:val="24"/>
                <w:szCs w:val="24"/>
              </w:rPr>
              <w:t>洗手设施</w:t>
            </w:r>
          </w:p>
        </w:tc>
        <w:tc>
          <w:tcPr>
            <w:tcW w:w="259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有</w:t>
            </w:r>
          </w:p>
        </w:tc>
        <w:tc>
          <w:tcPr>
            <w:tcW w:w="317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自行安装洗手槽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87"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11</w:t>
            </w:r>
          </w:p>
        </w:tc>
        <w:tc>
          <w:tcPr>
            <w:tcW w:w="1843" w:type="dxa"/>
            <w:noWrap w:val="0"/>
            <w:vAlign w:val="center"/>
          </w:tcPr>
          <w:p>
            <w:pPr>
              <w:pStyle w:val="20"/>
              <w:spacing w:after="0" w:line="400" w:lineRule="exact"/>
              <w:ind w:left="0" w:leftChars="0" w:firstLine="0" w:firstLineChars="0"/>
              <w:jc w:val="center"/>
              <w:rPr>
                <w:rFonts w:hint="eastAsia" w:ascii="宋体" w:hAnsi="宋体" w:eastAsia="仿宋_GB2312" w:cs="宋体"/>
                <w:b w:val="0"/>
                <w:bCs w:val="0"/>
                <w:sz w:val="24"/>
                <w:szCs w:val="24"/>
              </w:rPr>
            </w:pPr>
            <w:r>
              <w:rPr>
                <w:rFonts w:hint="eastAsia" w:ascii="宋体" w:hAnsi="宋体" w:eastAsia="仿宋_GB2312" w:cs="宋体"/>
                <w:b w:val="0"/>
                <w:bCs w:val="0"/>
                <w:sz w:val="24"/>
                <w:szCs w:val="24"/>
              </w:rPr>
              <w:t>厕屋门窗</w:t>
            </w:r>
          </w:p>
        </w:tc>
        <w:tc>
          <w:tcPr>
            <w:tcW w:w="259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有通风，防蚊蝇措施</w:t>
            </w:r>
          </w:p>
        </w:tc>
        <w:tc>
          <w:tcPr>
            <w:tcW w:w="317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安装防水防腐</w:t>
            </w:r>
            <w:r>
              <w:rPr>
                <w:rFonts w:hint="eastAsia" w:ascii="宋体" w:hAnsi="宋体" w:eastAsia="仿宋_GB2312" w:cs="宋体"/>
                <w:b w:val="0"/>
                <w:bCs w:val="0"/>
                <w:color w:val="000000"/>
                <w:kern w:val="0"/>
                <w:sz w:val="24"/>
                <w:szCs w:val="24"/>
                <w:lang w:bidi="ar"/>
              </w:rPr>
              <w:t>门窗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87" w:type="dxa"/>
            <w:noWrap w:val="0"/>
            <w:vAlign w:val="center"/>
          </w:tcPr>
          <w:p>
            <w:pPr>
              <w:pStyle w:val="20"/>
              <w:spacing w:after="0" w:line="560" w:lineRule="exact"/>
              <w:ind w:left="0" w:leftChars="0" w:firstLine="0" w:firstLineChars="0"/>
              <w:jc w:val="center"/>
              <w:rPr>
                <w:rFonts w:hint="default" w:ascii="宋体" w:hAnsi="宋体" w:eastAsia="仿宋_GB2312" w:cs="宋体"/>
                <w:b w:val="0"/>
                <w:bCs w:val="0"/>
                <w:sz w:val="24"/>
                <w:szCs w:val="24"/>
                <w:lang w:val="en-US" w:eastAsia="zh-CN"/>
              </w:rPr>
            </w:pPr>
            <w:r>
              <w:rPr>
                <w:rFonts w:hint="eastAsia" w:ascii="宋体" w:hAnsi="宋体" w:eastAsia="仿宋_GB2312" w:cs="宋体"/>
                <w:b w:val="0"/>
                <w:bCs w:val="0"/>
                <w:sz w:val="24"/>
                <w:szCs w:val="24"/>
                <w:lang w:val="en-US" w:eastAsia="zh-CN"/>
              </w:rPr>
              <w:t>12</w:t>
            </w:r>
          </w:p>
        </w:tc>
        <w:tc>
          <w:tcPr>
            <w:tcW w:w="1843" w:type="dxa"/>
            <w:noWrap w:val="0"/>
            <w:vAlign w:val="center"/>
          </w:tcPr>
          <w:p>
            <w:pPr>
              <w:pStyle w:val="20"/>
              <w:spacing w:after="0" w:line="560" w:lineRule="exact"/>
              <w:ind w:left="0" w:leftChars="0" w:firstLine="0" w:firstLineChars="0"/>
              <w:jc w:val="center"/>
              <w:rPr>
                <w:rFonts w:hint="eastAsia" w:ascii="宋体" w:hAnsi="宋体" w:eastAsia="仿宋_GB2312" w:cs="宋体"/>
                <w:b w:val="0"/>
                <w:bCs w:val="0"/>
                <w:sz w:val="24"/>
                <w:szCs w:val="24"/>
                <w:lang w:eastAsia="zh-CN"/>
              </w:rPr>
            </w:pPr>
            <w:r>
              <w:rPr>
                <w:rFonts w:hint="eastAsia" w:ascii="宋体" w:hAnsi="宋体" w:eastAsia="仿宋_GB2312" w:cs="宋体"/>
                <w:b w:val="0"/>
                <w:bCs w:val="0"/>
                <w:sz w:val="24"/>
                <w:szCs w:val="24"/>
                <w:lang w:eastAsia="zh-CN"/>
              </w:rPr>
              <w:t>无害化处理设施</w:t>
            </w:r>
          </w:p>
        </w:tc>
        <w:tc>
          <w:tcPr>
            <w:tcW w:w="5770" w:type="dxa"/>
            <w:gridSpan w:val="2"/>
            <w:noWrap w:val="0"/>
            <w:vAlign w:val="center"/>
          </w:tcPr>
          <w:p>
            <w:pPr>
              <w:pStyle w:val="20"/>
              <w:spacing w:after="0" w:line="400" w:lineRule="exact"/>
              <w:ind w:left="0" w:leftChars="0" w:firstLine="0" w:firstLineChars="0"/>
              <w:jc w:val="left"/>
              <w:rPr>
                <w:rFonts w:hint="eastAsia" w:ascii="宋体" w:hAnsi="宋体" w:eastAsia="仿宋_GB2312" w:cs="宋体"/>
                <w:b w:val="0"/>
                <w:bCs w:val="0"/>
                <w:sz w:val="24"/>
                <w:szCs w:val="24"/>
              </w:rPr>
            </w:pPr>
            <w:r>
              <w:rPr>
                <w:rFonts w:hint="eastAsia" w:ascii="宋体" w:hAnsi="宋体" w:eastAsia="仿宋_GB2312" w:cs="宋体"/>
                <w:b w:val="0"/>
                <w:bCs w:val="0"/>
                <w:sz w:val="24"/>
                <w:szCs w:val="24"/>
                <w:lang w:eastAsia="zh-CN"/>
              </w:rPr>
              <w:t>分户或联户（</w:t>
            </w:r>
            <w:r>
              <w:rPr>
                <w:rFonts w:hint="eastAsia" w:ascii="宋体" w:hAnsi="宋体" w:eastAsia="仿宋_GB2312" w:cs="宋体"/>
                <w:b w:val="0"/>
                <w:bCs w:val="0"/>
                <w:sz w:val="24"/>
                <w:szCs w:val="24"/>
                <w:lang w:val="en-US" w:eastAsia="zh-CN"/>
              </w:rPr>
              <w:t>2-5户</w:t>
            </w:r>
            <w:r>
              <w:rPr>
                <w:rFonts w:hint="eastAsia" w:ascii="宋体" w:hAnsi="宋体" w:eastAsia="仿宋_GB2312" w:cs="宋体"/>
                <w:b w:val="0"/>
                <w:bCs w:val="0"/>
                <w:sz w:val="24"/>
                <w:szCs w:val="24"/>
                <w:lang w:eastAsia="zh-CN"/>
              </w:rPr>
              <w:t>）建设</w:t>
            </w:r>
            <w:r>
              <w:rPr>
                <w:rFonts w:hint="eastAsia" w:ascii="宋体" w:hAnsi="宋体" w:eastAsia="仿宋_GB2312" w:cs="宋体"/>
                <w:b w:val="0"/>
                <w:bCs w:val="0"/>
                <w:sz w:val="24"/>
                <w:szCs w:val="24"/>
              </w:rPr>
              <w:t>具备有效降低粪便中生物性致病因子传染性设施的三格化粪池</w:t>
            </w:r>
            <w:r>
              <w:rPr>
                <w:rFonts w:hint="eastAsia" w:ascii="宋体" w:hAnsi="宋体" w:eastAsia="仿宋_GB2312" w:cs="宋体"/>
                <w:b w:val="0"/>
                <w:bCs w:val="0"/>
                <w:sz w:val="24"/>
                <w:szCs w:val="24"/>
                <w:lang w:eastAsia="zh-CN"/>
              </w:rPr>
              <w:t>或</w:t>
            </w:r>
            <w:r>
              <w:rPr>
                <w:rFonts w:hint="eastAsia" w:ascii="宋体" w:hAnsi="宋体" w:eastAsia="仿宋_GB2312" w:cs="宋体"/>
                <w:b w:val="0"/>
                <w:bCs w:val="0"/>
                <w:sz w:val="24"/>
                <w:szCs w:val="24"/>
              </w:rPr>
              <w:t>三联通式沼气池</w:t>
            </w:r>
            <w:r>
              <w:rPr>
                <w:rFonts w:hint="eastAsia" w:ascii="宋体" w:hAnsi="宋体" w:eastAsia="仿宋_GB2312" w:cs="宋体"/>
                <w:b w:val="0"/>
                <w:bCs w:val="0"/>
                <w:sz w:val="24"/>
                <w:szCs w:val="24"/>
                <w:lang w:eastAsia="zh-CN"/>
              </w:rPr>
              <w:t>粪污收集设施。</w:t>
            </w:r>
          </w:p>
          <w:p>
            <w:pPr>
              <w:pStyle w:val="20"/>
              <w:spacing w:after="0" w:line="400" w:lineRule="exact"/>
              <w:ind w:left="0" w:leftChars="0" w:firstLine="0" w:firstLineChars="0"/>
              <w:jc w:val="left"/>
              <w:rPr>
                <w:rFonts w:hint="eastAsia"/>
                <w:sz w:val="24"/>
                <w:szCs w:val="24"/>
                <w:lang w:eastAsia="zh-CN"/>
              </w:rPr>
            </w:pPr>
            <w:r>
              <w:rPr>
                <w:rFonts w:hint="eastAsia" w:ascii="宋体" w:hAnsi="宋体" w:eastAsia="仿宋_GB2312" w:cs="宋体"/>
                <w:b w:val="0"/>
                <w:bCs w:val="0"/>
                <w:sz w:val="24"/>
                <w:szCs w:val="24"/>
                <w:lang w:eastAsia="zh-CN"/>
              </w:rPr>
              <w:t>聚居点（</w:t>
            </w:r>
            <w:r>
              <w:rPr>
                <w:rFonts w:hint="eastAsia" w:ascii="宋体" w:hAnsi="宋体" w:eastAsia="仿宋_GB2312" w:cs="宋体"/>
                <w:b w:val="0"/>
                <w:bCs w:val="0"/>
                <w:sz w:val="24"/>
                <w:szCs w:val="24"/>
                <w:lang w:val="en-US" w:eastAsia="zh-CN"/>
              </w:rPr>
              <w:t>10-20户</w:t>
            </w:r>
            <w:r>
              <w:rPr>
                <w:rFonts w:hint="eastAsia" w:ascii="宋体" w:hAnsi="宋体" w:eastAsia="仿宋_GB2312" w:cs="宋体"/>
                <w:b w:val="0"/>
                <w:bCs w:val="0"/>
                <w:sz w:val="24"/>
                <w:szCs w:val="24"/>
                <w:lang w:eastAsia="zh-CN"/>
              </w:rPr>
              <w:t>）建设</w:t>
            </w:r>
            <w:r>
              <w:rPr>
                <w:rFonts w:hint="eastAsia" w:ascii="宋体" w:hAnsi="宋体" w:eastAsia="仿宋_GB2312" w:cs="宋体"/>
                <w:b w:val="0"/>
                <w:bCs w:val="0"/>
                <w:sz w:val="24"/>
                <w:szCs w:val="24"/>
              </w:rPr>
              <w:t>具有完整上下水道系统及污水处理设施</w:t>
            </w:r>
            <w:r>
              <w:rPr>
                <w:rFonts w:hint="eastAsia" w:ascii="宋体" w:hAnsi="宋体" w:eastAsia="仿宋_GB2312" w:cs="宋体"/>
                <w:b w:val="0"/>
                <w:bCs w:val="0"/>
                <w:sz w:val="24"/>
                <w:szCs w:val="24"/>
                <w:lang w:eastAsia="zh-CN"/>
              </w:rPr>
              <w:t>，</w:t>
            </w:r>
            <w:r>
              <w:rPr>
                <w:rFonts w:hint="eastAsia" w:ascii="宋体" w:hAnsi="宋体" w:eastAsia="仿宋_GB2312" w:cs="宋体"/>
                <w:b w:val="0"/>
                <w:bCs w:val="0"/>
                <w:sz w:val="24"/>
                <w:szCs w:val="24"/>
              </w:rPr>
              <w:t>包含集中收集处理的三格化粪池</w:t>
            </w:r>
            <w:r>
              <w:rPr>
                <w:rFonts w:hint="eastAsia" w:ascii="宋体" w:hAnsi="宋体" w:eastAsia="仿宋_GB2312" w:cs="宋体"/>
                <w:b w:val="0"/>
                <w:bCs w:val="0"/>
                <w:sz w:val="24"/>
                <w:szCs w:val="24"/>
                <w:lang w:eastAsia="zh-CN"/>
              </w:rPr>
              <w:t>，配套生态湿地。</w:t>
            </w:r>
          </w:p>
        </w:tc>
      </w:tr>
    </w:tbl>
    <w:p>
      <w:pPr>
        <w:pStyle w:val="20"/>
        <w:spacing w:after="0" w:line="560" w:lineRule="exact"/>
        <w:ind w:left="0" w:leftChars="0"/>
        <w:rPr>
          <w:rFonts w:ascii="宋体" w:hAnsi="宋体" w:cs="宋体"/>
          <w:b w:val="0"/>
          <w:bCs w:val="0"/>
          <w:sz w:val="24"/>
          <w:szCs w:val="24"/>
        </w:rPr>
      </w:pPr>
    </w:p>
    <w:p>
      <w:pPr>
        <w:spacing w:line="560" w:lineRule="exact"/>
        <w:jc w:val="center"/>
        <w:rPr>
          <w:rFonts w:ascii="宋体" w:hAnsi="宋体" w:eastAsia="方正小标宋简体" w:cs="宋体"/>
          <w:b w:val="0"/>
          <w:bCs w:val="0"/>
          <w:sz w:val="24"/>
          <w:szCs w:val="24"/>
        </w:rPr>
      </w:pPr>
    </w:p>
    <w:p>
      <w:pPr>
        <w:spacing w:line="560" w:lineRule="exact"/>
        <w:jc w:val="center"/>
        <w:rPr>
          <w:rFonts w:ascii="宋体" w:hAnsi="宋体" w:eastAsia="方正小标宋简体" w:cs="宋体"/>
          <w:b w:val="0"/>
          <w:bCs w:val="0"/>
          <w:sz w:val="24"/>
          <w:szCs w:val="24"/>
        </w:rPr>
      </w:pPr>
    </w:p>
    <w:p>
      <w:pPr>
        <w:spacing w:line="560" w:lineRule="exact"/>
        <w:jc w:val="left"/>
        <w:rPr>
          <w:rFonts w:hint="eastAsia" w:ascii="宋体" w:hAnsi="宋体" w:eastAsia="仿宋_GB2312" w:cs="宋体"/>
          <w:b w:val="0"/>
          <w:bCs w:val="0"/>
          <w:sz w:val="24"/>
          <w:szCs w:val="24"/>
        </w:rPr>
      </w:pPr>
    </w:p>
    <w:p>
      <w:pPr>
        <w:spacing w:line="560" w:lineRule="exact"/>
        <w:jc w:val="left"/>
        <w:rPr>
          <w:rFonts w:ascii="宋体" w:hAnsi="宋体" w:eastAsia="仿宋_GB2312" w:cs="宋体"/>
          <w:b w:val="0"/>
          <w:bCs w:val="0"/>
          <w:sz w:val="24"/>
          <w:szCs w:val="24"/>
        </w:rPr>
      </w:pPr>
      <w:r>
        <w:rPr>
          <w:rFonts w:hint="eastAsia" w:ascii="宋体" w:hAnsi="宋体" w:eastAsia="仿宋_GB2312" w:cs="宋体"/>
          <w:b w:val="0"/>
          <w:bCs w:val="0"/>
          <w:sz w:val="24"/>
          <w:szCs w:val="24"/>
        </w:rPr>
        <w:t>附件4</w:t>
      </w:r>
    </w:p>
    <w:p>
      <w:pPr>
        <w:spacing w:line="560" w:lineRule="exact"/>
        <w:jc w:val="center"/>
        <w:rPr>
          <w:rFonts w:ascii="宋体" w:hAnsi="宋体" w:eastAsia="方正小标宋简体" w:cs="宋体"/>
          <w:b w:val="0"/>
          <w:bCs w:val="0"/>
          <w:sz w:val="24"/>
          <w:szCs w:val="24"/>
        </w:rPr>
      </w:pPr>
      <w:r>
        <w:rPr>
          <w:rFonts w:hint="eastAsia" w:ascii="宋体" w:hAnsi="宋体" w:eastAsia="方正小标宋简体" w:cs="宋体"/>
          <w:b w:val="0"/>
          <w:bCs w:val="0"/>
          <w:sz w:val="24"/>
          <w:szCs w:val="24"/>
        </w:rPr>
        <w:t>射洪</w:t>
      </w:r>
      <w:r>
        <w:rPr>
          <w:rFonts w:hint="eastAsia" w:ascii="宋体" w:hAnsi="宋体" w:eastAsia="方正小标宋简体" w:cs="宋体"/>
          <w:b w:val="0"/>
          <w:bCs w:val="0"/>
          <w:sz w:val="24"/>
          <w:szCs w:val="24"/>
          <w:lang w:val="en-US" w:eastAsia="zh-CN"/>
        </w:rPr>
        <w:t>市</w:t>
      </w:r>
      <w:r>
        <w:rPr>
          <w:rFonts w:hint="eastAsia" w:ascii="宋体" w:hAnsi="宋体" w:eastAsia="方正小标宋简体" w:cs="宋体"/>
          <w:b w:val="0"/>
          <w:bCs w:val="0"/>
          <w:sz w:val="24"/>
          <w:szCs w:val="24"/>
        </w:rPr>
        <w:t>农村户用卫生厕所改造主要工作流程</w:t>
      </w:r>
    </w:p>
    <w:p>
      <w:pPr>
        <w:pStyle w:val="20"/>
        <w:spacing w:after="0" w:line="560" w:lineRule="exact"/>
        <w:ind w:left="0" w:leftChars="0"/>
        <w:rPr>
          <w:rFonts w:ascii="宋体" w:hAnsi="宋体" w:cs="宋体"/>
          <w:b w:val="0"/>
          <w:bCs w:val="0"/>
          <w:sz w:val="24"/>
          <w:szCs w:val="24"/>
        </w:rPr>
      </w:pPr>
      <w:r>
        <w:rPr>
          <w:rFonts w:ascii="宋体" w:hAnsi="宋体" w:eastAsia="方正小标宋简体" w:cs="宋体"/>
          <w:b w:val="0"/>
          <w:bCs w:val="0"/>
          <w:sz w:val="24"/>
          <w:szCs w:val="24"/>
        </w:rPr>
        <mc:AlternateContent>
          <mc:Choice Requires="wps">
            <w:drawing>
              <wp:anchor distT="0" distB="0" distL="114300" distR="114300" simplePos="0" relativeHeight="251658240" behindDoc="0" locked="0" layoutInCell="1" allowOverlap="1">
                <wp:simplePos x="0" y="0"/>
                <wp:positionH relativeFrom="column">
                  <wp:posOffset>1310640</wp:posOffset>
                </wp:positionH>
                <wp:positionV relativeFrom="paragraph">
                  <wp:posOffset>185420</wp:posOffset>
                </wp:positionV>
                <wp:extent cx="3084830" cy="438150"/>
                <wp:effectExtent l="6350" t="6350" r="13970" b="12700"/>
                <wp:wrapNone/>
                <wp:docPr id="14" name="流程图: 过程 14"/>
                <wp:cNvGraphicFramePr/>
                <a:graphic xmlns:a="http://schemas.openxmlformats.org/drawingml/2006/main">
                  <a:graphicData uri="http://schemas.microsoft.com/office/word/2010/wordprocessingShape">
                    <wps:wsp>
                      <wps:cNvSpPr/>
                      <wps:spPr>
                        <a:xfrm>
                          <a:off x="2545715" y="1979295"/>
                          <a:ext cx="3084830" cy="438150"/>
                        </a:xfrm>
                        <a:prstGeom prst="flowChartProcess">
                          <a:avLst/>
                        </a:prstGeom>
                        <a:solidFill>
                          <a:srgbClr val="FFFFFF"/>
                        </a:solidFill>
                        <a:ln w="12700" cap="flat" cmpd="sng" algn="ctr">
                          <a:solidFill>
                            <a:srgbClr val="000000"/>
                          </a:solidFill>
                          <a:prstDash val="solid"/>
                          <a:miter lim="800000"/>
                        </a:ln>
                        <a:effectLst/>
                      </wps:spPr>
                      <wps:txbx>
                        <w:txbxContent>
                          <w:p>
                            <w:pPr>
                              <w:jc w:val="center"/>
                              <w:rPr>
                                <w:rFonts w:ascii="黑体" w:hAnsi="黑体" w:eastAsia="黑体" w:cs="黑体"/>
                                <w:color w:val="000000"/>
                                <w:kern w:val="0"/>
                                <w:sz w:val="32"/>
                                <w:szCs w:val="32"/>
                              </w:rPr>
                            </w:pPr>
                            <w:r>
                              <w:rPr>
                                <w:rFonts w:hint="eastAsia" w:ascii="黑体" w:hAnsi="黑体" w:eastAsia="黑体" w:cs="黑体"/>
                                <w:color w:val="000000"/>
                                <w:kern w:val="0"/>
                                <w:sz w:val="32"/>
                                <w:szCs w:val="32"/>
                              </w:rPr>
                              <w:t>农户申请和规划项目</w:t>
                            </w:r>
                          </w:p>
                        </w:txbxContent>
                      </wps:txbx>
                      <wps:bodyPr rot="0" spcFirstLastPara="0" vertOverflow="overflow" horzOverflow="overflow" vert="horz" wrap="square" lIns="91440" tIns="45720" rIns="91440" bIns="45720" numCol="1" spcCol="0" rtlCol="0" fromWordArt="false" anchor="ctr" anchorCtr="false" forceAA="false" compatLnSpc="true">
                        <a:noAutofit/>
                      </wps:bodyPr>
                    </wps:wsp>
                  </a:graphicData>
                </a:graphic>
              </wp:anchor>
            </w:drawing>
          </mc:Choice>
          <mc:Fallback>
            <w:pict>
              <v:shape id="_x0000_s1026" o:spid="_x0000_s1026" o:spt="109" type="#_x0000_t109" style="position:absolute;left:0pt;margin-left:103.2pt;margin-top:14.6pt;height:34.5pt;width:242.9pt;z-index:251658240;v-text-anchor:middle;mso-width-relative:page;mso-height-relative:page;" fillcolor="#FFFFFF" filled="t" stroked="t" coordsize="21600,21600" o:gfxdata="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">
                <v:fill on="t" focussize="0,0"/>
                <v:stroke weight="1pt" color="#000000" miterlimit="8" joinstyle="miter"/>
                <v:imagedata o:title=""/>
                <o:lock v:ext="edit" aspectratio="f"/>
                <v:textbox>
                  <w:txbxContent>
                    <w:p>
                      <w:pPr>
                        <w:jc w:val="center"/>
                        <w:rPr>
                          <w:rFonts w:ascii="黑体" w:hAnsi="黑体" w:eastAsia="黑体" w:cs="黑体"/>
                          <w:color w:val="000000"/>
                          <w:kern w:val="0"/>
                          <w:sz w:val="32"/>
                          <w:szCs w:val="32"/>
                        </w:rPr>
                      </w:pPr>
                      <w:r>
                        <w:rPr>
                          <w:rFonts w:hint="eastAsia" w:ascii="黑体" w:hAnsi="黑体" w:eastAsia="黑体" w:cs="黑体"/>
                          <w:color w:val="000000"/>
                          <w:kern w:val="0"/>
                          <w:sz w:val="32"/>
                          <w:szCs w:val="32"/>
                        </w:rPr>
                        <w:t>农户申请和规划项目</w:t>
                      </w:r>
                    </w:p>
                  </w:txbxContent>
                </v:textbox>
              </v:shape>
            </w:pict>
          </mc:Fallback>
        </mc:AlternateContent>
      </w:r>
    </w:p>
    <w:p>
      <w:pPr>
        <w:jc w:val="center"/>
        <w:rPr>
          <w:rFonts w:ascii="宋体" w:hAnsi="宋体" w:eastAsia="方正小标宋简体" w:cs="宋体"/>
          <w:b w:val="0"/>
          <w:bCs w:val="0"/>
          <w:sz w:val="24"/>
          <w:szCs w:val="24"/>
        </w:rPr>
      </w:pPr>
    </w:p>
    <w:p>
      <w:pPr>
        <w:rPr>
          <w:rFonts w:ascii="宋体" w:hAnsi="宋体" w:eastAsia="方正小标宋简体" w:cs="宋体"/>
          <w:b w:val="0"/>
          <w:bCs w:val="0"/>
          <w:sz w:val="24"/>
          <w:szCs w:val="24"/>
        </w:rPr>
      </w:pPr>
      <w:r>
        <w:rPr>
          <w:rFonts w:ascii="宋体" w:hAnsi="宋体" w:eastAsia="方正小标宋简体" w:cs="宋体"/>
          <w:b w:val="0"/>
          <w:bCs w:val="0"/>
          <w:sz w:val="24"/>
          <w:szCs w:val="24"/>
        </w:rPr>
        <mc:AlternateContent>
          <mc:Choice Requires="wps">
            <w:drawing>
              <wp:anchor distT="0" distB="0" distL="114300" distR="114300" simplePos="0" relativeHeight="251659264" behindDoc="0" locked="0" layoutInCell="1" allowOverlap="1">
                <wp:simplePos x="0" y="0"/>
                <wp:positionH relativeFrom="column">
                  <wp:posOffset>2900680</wp:posOffset>
                </wp:positionH>
                <wp:positionV relativeFrom="paragraph">
                  <wp:posOffset>19685</wp:posOffset>
                </wp:positionV>
                <wp:extent cx="7620" cy="278130"/>
                <wp:effectExtent l="48895" t="0" r="57785" b="7620"/>
                <wp:wrapNone/>
                <wp:docPr id="15" name="直接箭头连接符 15"/>
                <wp:cNvGraphicFramePr/>
                <a:graphic xmlns:a="http://schemas.openxmlformats.org/drawingml/2006/main">
                  <a:graphicData uri="http://schemas.microsoft.com/office/word/2010/wordprocessingShape">
                    <wps:wsp>
                      <wps:cNvCnPr/>
                      <wps:spPr>
                        <a:xfrm>
                          <a:off x="0" y="0"/>
                          <a:ext cx="7620" cy="278130"/>
                        </a:xfrm>
                        <a:prstGeom prst="straightConnector1">
                          <a:avLst/>
                        </a:prstGeom>
                        <a:noFill/>
                        <a:ln w="19050" cap="flat" cmpd="sng" algn="ctr">
                          <a:solidFill>
                            <a:srgbClr val="000000"/>
                          </a:solidFill>
                          <a:prstDash val="solid"/>
                          <a:miter lim="800000"/>
                          <a:tailEnd type="arrow" w="med" len="med"/>
                        </a:ln>
                        <a:effectLst/>
                      </wps:spPr>
                      <wps:bodyPr/>
                    </wps:wsp>
                  </a:graphicData>
                </a:graphic>
              </wp:anchor>
            </w:drawing>
          </mc:Choice>
          <mc:Fallback>
            <w:pict>
              <v:shape id="_x0000_s1026" o:spid="_x0000_s1026" o:spt="32" type="#_x0000_t32" style="position:absolute;left:0pt;margin-left:228.4pt;margin-top:1.55pt;height:21.9pt;width:0.6pt;z-index:251659264;mso-width-relative:page;mso-height-relative:page;" filled="f" stroked="t" coordsize="21600,21600" o:gfxdata="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">
                <v:fill on="f" focussize="0,0"/>
                <v:stroke weight="1.5pt" color="#000000" miterlimit="8" joinstyle="miter" endarrow="open"/>
                <v:imagedata o:title=""/>
                <o:lock v:ext="edit" aspectratio="f"/>
              </v:shape>
            </w:pict>
          </mc:Fallback>
        </mc:AlternateContent>
      </w:r>
    </w:p>
    <w:p>
      <w:pPr>
        <w:rPr>
          <w:rFonts w:ascii="宋体" w:hAnsi="宋体" w:eastAsia="方正小标宋简体" w:cs="宋体"/>
          <w:b w:val="0"/>
          <w:bCs w:val="0"/>
          <w:sz w:val="24"/>
          <w:szCs w:val="24"/>
        </w:rPr>
      </w:pPr>
      <w:r>
        <w:rPr>
          <w:rFonts w:ascii="宋体" w:hAnsi="宋体" w:eastAsia="方正小标宋简体" w:cs="宋体"/>
          <w:b w:val="0"/>
          <w:bCs w:val="0"/>
          <w:sz w:val="24"/>
          <w:szCs w:val="24"/>
        </w:rPr>
        <mc:AlternateContent>
          <mc:Choice Requires="wps">
            <w:drawing>
              <wp:anchor distT="0" distB="0" distL="114300" distR="114300" simplePos="0" relativeHeight="251663360" behindDoc="0" locked="0" layoutInCell="1" allowOverlap="1">
                <wp:simplePos x="0" y="0"/>
                <wp:positionH relativeFrom="column">
                  <wp:posOffset>1315085</wp:posOffset>
                </wp:positionH>
                <wp:positionV relativeFrom="paragraph">
                  <wp:posOffset>104775</wp:posOffset>
                </wp:positionV>
                <wp:extent cx="3075305" cy="438150"/>
                <wp:effectExtent l="6350" t="6350" r="23495" b="12700"/>
                <wp:wrapNone/>
                <wp:docPr id="20" name="流程图: 过程 20"/>
                <wp:cNvGraphicFramePr/>
                <a:graphic xmlns:a="http://schemas.openxmlformats.org/drawingml/2006/main">
                  <a:graphicData uri="http://schemas.microsoft.com/office/word/2010/wordprocessingShape">
                    <wps:wsp>
                      <wps:cNvSpPr/>
                      <wps:spPr>
                        <a:xfrm>
                          <a:off x="0" y="0"/>
                          <a:ext cx="3075305" cy="438150"/>
                        </a:xfrm>
                        <a:prstGeom prst="flowChartProcess">
                          <a:avLst/>
                        </a:prstGeom>
                        <a:solidFill>
                          <a:srgbClr val="FFFFFF"/>
                        </a:solidFill>
                        <a:ln w="12700" cap="flat" cmpd="sng" algn="ctr">
                          <a:solidFill>
                            <a:srgbClr val="000000"/>
                          </a:solidFill>
                          <a:prstDash val="solid"/>
                          <a:miter lim="800000"/>
                        </a:ln>
                        <a:effectLst/>
                      </wps:spPr>
                      <wps:txbx>
                        <w:txbxContent>
                          <w:p>
                            <w:pPr>
                              <w:jc w:val="center"/>
                              <w:rPr>
                                <w:rFonts w:ascii="黑体" w:hAnsi="黑体" w:eastAsia="黑体" w:cs="黑体"/>
                                <w:color w:val="000000"/>
                                <w:kern w:val="0"/>
                                <w:sz w:val="32"/>
                                <w:szCs w:val="32"/>
                              </w:rPr>
                            </w:pPr>
                            <w:r>
                              <w:rPr>
                                <w:rFonts w:hint="eastAsia" w:ascii="黑体" w:hAnsi="黑体" w:eastAsia="黑体" w:cs="黑体"/>
                                <w:color w:val="000000"/>
                                <w:kern w:val="0"/>
                                <w:sz w:val="32"/>
                                <w:szCs w:val="32"/>
                              </w:rPr>
                              <w:t>村民议事会（理事会）确认</w:t>
                            </w:r>
                          </w:p>
                        </w:txbxContent>
                      </wps:txbx>
                      <wps:bodyPr rot="0" spcFirstLastPara="0" vertOverflow="overflow" horzOverflow="overflow" vert="horz" wrap="square" lIns="91440" tIns="45720" rIns="91440" bIns="45720" numCol="1" spcCol="0" rtlCol="0" fromWordArt="false" anchor="ctr" anchorCtr="false" forceAA="false" compatLnSpc="true">
                        <a:noAutofit/>
                      </wps:bodyPr>
                    </wps:wsp>
                  </a:graphicData>
                </a:graphic>
              </wp:anchor>
            </w:drawing>
          </mc:Choice>
          <mc:Fallback>
            <w:pict>
              <v:shape id="_x0000_s1026" o:spid="_x0000_s1026" o:spt="109" type="#_x0000_t109" style="position:absolute;left:0pt;margin-left:103.55pt;margin-top:8.25pt;height:34.5pt;width:242.15pt;z-index:251663360;v-text-anchor:middle;mso-width-relative:page;mso-height-relative:page;" fillcolor="#FFFFFF" filled="t" stroked="t" coordsize="21600,21600" o:gfxdata="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">
                <v:fill on="t" focussize="0,0"/>
                <v:stroke weight="1pt" color="#000000" miterlimit="8" joinstyle="miter"/>
                <v:imagedata o:title=""/>
                <o:lock v:ext="edit" aspectratio="f"/>
                <v:textbox>
                  <w:txbxContent>
                    <w:p>
                      <w:pPr>
                        <w:jc w:val="center"/>
                        <w:rPr>
                          <w:rFonts w:ascii="黑体" w:hAnsi="黑体" w:eastAsia="黑体" w:cs="黑体"/>
                          <w:color w:val="000000"/>
                          <w:kern w:val="0"/>
                          <w:sz w:val="32"/>
                          <w:szCs w:val="32"/>
                        </w:rPr>
                      </w:pPr>
                      <w:r>
                        <w:rPr>
                          <w:rFonts w:hint="eastAsia" w:ascii="黑体" w:hAnsi="黑体" w:eastAsia="黑体" w:cs="黑体"/>
                          <w:color w:val="000000"/>
                          <w:kern w:val="0"/>
                          <w:sz w:val="32"/>
                          <w:szCs w:val="32"/>
                        </w:rPr>
                        <w:t>村民议事会（理事会）确认</w:t>
                      </w:r>
                    </w:p>
                  </w:txbxContent>
                </v:textbox>
              </v:shape>
            </w:pict>
          </mc:Fallback>
        </mc:AlternateContent>
      </w:r>
    </w:p>
    <w:p>
      <w:pPr>
        <w:rPr>
          <w:rFonts w:ascii="宋体" w:hAnsi="宋体" w:eastAsia="方正小标宋简体" w:cs="宋体"/>
          <w:b w:val="0"/>
          <w:bCs w:val="0"/>
          <w:sz w:val="24"/>
          <w:szCs w:val="24"/>
        </w:rPr>
      </w:pPr>
    </w:p>
    <w:p>
      <w:pPr>
        <w:rPr>
          <w:rFonts w:ascii="宋体" w:hAnsi="宋体" w:eastAsia="方正小标宋简体" w:cs="宋体"/>
          <w:b w:val="0"/>
          <w:bCs w:val="0"/>
          <w:sz w:val="24"/>
          <w:szCs w:val="24"/>
        </w:rPr>
      </w:pPr>
      <w:r>
        <w:rPr>
          <w:rFonts w:ascii="宋体" w:hAnsi="宋体" w:eastAsia="方正小标宋简体" w:cs="宋体"/>
          <w:b w:val="0"/>
          <w:bCs w:val="0"/>
          <w:sz w:val="24"/>
          <w:szCs w:val="24"/>
        </w:rPr>
        <mc:AlternateContent>
          <mc:Choice Requires="wps">
            <w:drawing>
              <wp:anchor distT="0" distB="0" distL="114300" distR="114300" simplePos="0" relativeHeight="251660288" behindDoc="0" locked="0" layoutInCell="1" allowOverlap="1">
                <wp:simplePos x="0" y="0"/>
                <wp:positionH relativeFrom="column">
                  <wp:posOffset>2880995</wp:posOffset>
                </wp:positionH>
                <wp:positionV relativeFrom="paragraph">
                  <wp:posOffset>98425</wp:posOffset>
                </wp:positionV>
                <wp:extent cx="7620" cy="278130"/>
                <wp:effectExtent l="48895" t="0" r="57785" b="7620"/>
                <wp:wrapNone/>
                <wp:docPr id="22" name="直接箭头连接符 22"/>
                <wp:cNvGraphicFramePr/>
                <a:graphic xmlns:a="http://schemas.openxmlformats.org/drawingml/2006/main">
                  <a:graphicData uri="http://schemas.microsoft.com/office/word/2010/wordprocessingShape">
                    <wps:wsp>
                      <wps:cNvCnPr/>
                      <wps:spPr>
                        <a:xfrm>
                          <a:off x="0" y="0"/>
                          <a:ext cx="7620" cy="278130"/>
                        </a:xfrm>
                        <a:prstGeom prst="straightConnector1">
                          <a:avLst/>
                        </a:prstGeom>
                        <a:noFill/>
                        <a:ln w="19050" cap="flat" cmpd="sng" algn="ctr">
                          <a:solidFill>
                            <a:srgbClr val="000000"/>
                          </a:solidFill>
                          <a:prstDash val="solid"/>
                          <a:miter lim="800000"/>
                          <a:tailEnd type="arrow" w="med" len="med"/>
                        </a:ln>
                        <a:effectLst/>
                      </wps:spPr>
                      <wps:bodyPr/>
                    </wps:wsp>
                  </a:graphicData>
                </a:graphic>
              </wp:anchor>
            </w:drawing>
          </mc:Choice>
          <mc:Fallback>
            <w:pict>
              <v:shape id="_x0000_s1026" o:spid="_x0000_s1026" o:spt="32" type="#_x0000_t32" style="position:absolute;left:0pt;margin-left:226.85pt;margin-top:7.75pt;height:21.9pt;width:0.6pt;z-index:251660288;mso-width-relative:page;mso-height-relative:page;" filled="f" stroked="t" coordsize="21600,21600" o:gfxdata="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">
                <v:fill on="f" focussize="0,0"/>
                <v:stroke weight="1.5pt" color="#000000" miterlimit="8" joinstyle="miter" endarrow="open"/>
                <v:imagedata o:title=""/>
                <o:lock v:ext="edit" aspectratio="f"/>
              </v:shape>
            </w:pict>
          </mc:Fallback>
        </mc:AlternateContent>
      </w:r>
    </w:p>
    <w:p>
      <w:pPr>
        <w:rPr>
          <w:rFonts w:ascii="宋体" w:hAnsi="宋体" w:eastAsia="方正小标宋简体" w:cs="宋体"/>
          <w:b w:val="0"/>
          <w:bCs w:val="0"/>
          <w:sz w:val="24"/>
          <w:szCs w:val="24"/>
        </w:rPr>
      </w:pPr>
      <w:r>
        <w:rPr>
          <w:rFonts w:ascii="宋体" w:hAnsi="宋体" w:eastAsia="方正小标宋简体" w:cs="宋体"/>
          <w:b w:val="0"/>
          <w:bCs w:val="0"/>
          <w:sz w:val="24"/>
          <w:szCs w:val="24"/>
        </w:rPr>
        <mc:AlternateContent>
          <mc:Choice Requires="wps">
            <w:drawing>
              <wp:anchor distT="0" distB="0" distL="114300" distR="114300" simplePos="0" relativeHeight="251661312" behindDoc="0" locked="0" layoutInCell="1" allowOverlap="1">
                <wp:simplePos x="0" y="0"/>
                <wp:positionH relativeFrom="column">
                  <wp:posOffset>2846705</wp:posOffset>
                </wp:positionH>
                <wp:positionV relativeFrom="paragraph">
                  <wp:posOffset>348615</wp:posOffset>
                </wp:positionV>
                <wp:extent cx="7620" cy="278130"/>
                <wp:effectExtent l="48895" t="0" r="57785" b="7620"/>
                <wp:wrapNone/>
                <wp:docPr id="34" name="直接箭头连接符 34"/>
                <wp:cNvGraphicFramePr/>
                <a:graphic xmlns:a="http://schemas.openxmlformats.org/drawingml/2006/main">
                  <a:graphicData uri="http://schemas.microsoft.com/office/word/2010/wordprocessingShape">
                    <wps:wsp>
                      <wps:cNvCnPr/>
                      <wps:spPr>
                        <a:xfrm>
                          <a:off x="0" y="0"/>
                          <a:ext cx="7620" cy="278130"/>
                        </a:xfrm>
                        <a:prstGeom prst="straightConnector1">
                          <a:avLst/>
                        </a:prstGeom>
                        <a:noFill/>
                        <a:ln w="19050" cap="flat" cmpd="sng" algn="ctr">
                          <a:solidFill>
                            <a:srgbClr val="000000"/>
                          </a:solidFill>
                          <a:prstDash val="solid"/>
                          <a:miter lim="800000"/>
                          <a:tailEnd type="arrow" w="med" len="med"/>
                        </a:ln>
                        <a:effectLst/>
                      </wps:spPr>
                      <wps:bodyPr/>
                    </wps:wsp>
                  </a:graphicData>
                </a:graphic>
              </wp:anchor>
            </w:drawing>
          </mc:Choice>
          <mc:Fallback>
            <w:pict>
              <v:shape id="_x0000_s1026" o:spid="_x0000_s1026" o:spt="32" type="#_x0000_t32" style="position:absolute;left:0pt;margin-left:224.15pt;margin-top:27.45pt;height:21.9pt;width:0.6pt;z-index:251661312;mso-width-relative:page;mso-height-relative:page;" filled="f" stroked="t" coordsize="21600,21600" o:gfxdata="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">
                <v:fill on="f" focussize="0,0"/>
                <v:stroke weight="1.5pt" color="#000000" miterlimit="8" joinstyle="miter" endarrow="open"/>
                <v:imagedata o:title=""/>
                <o:lock v:ext="edit" aspectratio="f"/>
              </v:shape>
            </w:pict>
          </mc:Fallback>
        </mc:AlternateContent>
      </w:r>
      <w:r>
        <w:rPr>
          <w:rFonts w:ascii="宋体" w:hAnsi="宋体" w:eastAsia="方正小标宋简体" w:cs="宋体"/>
          <w:b w:val="0"/>
          <w:bCs w:val="0"/>
          <w:sz w:val="24"/>
          <w:szCs w:val="24"/>
        </w:rPr>
        <mc:AlternateContent>
          <mc:Choice Requires="wps">
            <w:drawing>
              <wp:anchor distT="0" distB="0" distL="114300" distR="114300" simplePos="0" relativeHeight="251664384" behindDoc="0" locked="0" layoutInCell="1" allowOverlap="1">
                <wp:simplePos x="0" y="0"/>
                <wp:positionH relativeFrom="column">
                  <wp:posOffset>1310005</wp:posOffset>
                </wp:positionH>
                <wp:positionV relativeFrom="paragraph">
                  <wp:posOffset>181610</wp:posOffset>
                </wp:positionV>
                <wp:extent cx="3086100" cy="438150"/>
                <wp:effectExtent l="6350" t="6350" r="12700" b="12700"/>
                <wp:wrapNone/>
                <wp:docPr id="33" name="流程图: 过程 33"/>
                <wp:cNvGraphicFramePr/>
                <a:graphic xmlns:a="http://schemas.openxmlformats.org/drawingml/2006/main">
                  <a:graphicData uri="http://schemas.microsoft.com/office/word/2010/wordprocessingShape">
                    <wps:wsp>
                      <wps:cNvSpPr/>
                      <wps:spPr>
                        <a:xfrm>
                          <a:off x="0" y="0"/>
                          <a:ext cx="3086100" cy="438150"/>
                        </a:xfrm>
                        <a:prstGeom prst="flowChartProcess">
                          <a:avLst/>
                        </a:prstGeom>
                        <a:solidFill>
                          <a:srgbClr val="FFFFFF"/>
                        </a:solidFill>
                        <a:ln w="12700" cap="flat" cmpd="sng" algn="ctr">
                          <a:solidFill>
                            <a:srgbClr val="000000"/>
                          </a:solidFill>
                          <a:prstDash val="solid"/>
                          <a:miter lim="800000"/>
                        </a:ln>
                        <a:effectLst/>
                      </wps:spPr>
                      <wps:txbx>
                        <w:txbxContent>
                          <w:p>
                            <w:pPr>
                              <w:ind w:left="-266" w:leftChars="-95" w:firstLine="198" w:firstLineChars="62"/>
                              <w:jc w:val="center"/>
                              <w:rPr>
                                <w:rFonts w:ascii="黑体" w:hAnsi="黑体" w:eastAsia="黑体" w:cs="黑体"/>
                                <w:color w:val="000000"/>
                                <w:kern w:val="0"/>
                                <w:sz w:val="32"/>
                                <w:szCs w:val="32"/>
                              </w:rPr>
                            </w:pPr>
                            <w:r>
                              <w:rPr>
                                <w:rFonts w:hint="eastAsia" w:ascii="黑体" w:hAnsi="黑体" w:eastAsia="黑体" w:cs="黑体"/>
                                <w:color w:val="000000"/>
                                <w:kern w:val="0"/>
                                <w:sz w:val="32"/>
                                <w:szCs w:val="32"/>
                              </w:rPr>
                              <w:t>村两委审核</w:t>
                            </w:r>
                          </w:p>
                          <w:p>
                            <w:pPr>
                              <w:jc w:val="center"/>
                              <w:rPr>
                                <w:rFonts w:ascii="黑体" w:hAnsi="黑体" w:eastAsia="黑体" w:cs="黑体"/>
                                <w:color w:val="000000"/>
                                <w:kern w:val="0"/>
                                <w:sz w:val="32"/>
                                <w:szCs w:val="32"/>
                              </w:rPr>
                            </w:pPr>
                          </w:p>
                        </w:txbxContent>
                      </wps:txbx>
                      <wps:bodyPr rot="0" spcFirstLastPara="0" vertOverflow="overflow" horzOverflow="overflow" vert="horz" wrap="square" lIns="91440" tIns="45720" rIns="91440" bIns="45720" numCol="1" spcCol="0" rtlCol="0" fromWordArt="false" anchor="ctr" anchorCtr="false" forceAA="false" compatLnSpc="true">
                        <a:noAutofit/>
                      </wps:bodyPr>
                    </wps:wsp>
                  </a:graphicData>
                </a:graphic>
              </wp:anchor>
            </w:drawing>
          </mc:Choice>
          <mc:Fallback>
            <w:pict>
              <v:shape id="_x0000_s1026" o:spid="_x0000_s1026" o:spt="109" type="#_x0000_t109" style="position:absolute;left:0pt;margin-left:103.15pt;margin-top:14.3pt;height:34.5pt;width:243pt;z-index:251664384;v-text-anchor:middle;mso-width-relative:page;mso-height-relative:page;" fillcolor="#FFFFFF" filled="t" stroked="t" coordsize="21600,21600" o:gfxdata="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">
                <v:fill on="t" focussize="0,0"/>
                <v:stroke weight="1pt" color="#000000" miterlimit="8" joinstyle="miter"/>
                <v:imagedata o:title=""/>
                <o:lock v:ext="edit" aspectratio="f"/>
                <v:textbox>
                  <w:txbxContent>
                    <w:p>
                      <w:pPr>
                        <w:ind w:left="-266" w:leftChars="-95" w:firstLine="198" w:firstLineChars="62"/>
                        <w:jc w:val="center"/>
                        <w:rPr>
                          <w:rFonts w:ascii="黑体" w:hAnsi="黑体" w:eastAsia="黑体" w:cs="黑体"/>
                          <w:color w:val="000000"/>
                          <w:kern w:val="0"/>
                          <w:sz w:val="32"/>
                          <w:szCs w:val="32"/>
                        </w:rPr>
                      </w:pPr>
                      <w:r>
                        <w:rPr>
                          <w:rFonts w:hint="eastAsia" w:ascii="黑体" w:hAnsi="黑体" w:eastAsia="黑体" w:cs="黑体"/>
                          <w:color w:val="000000"/>
                          <w:kern w:val="0"/>
                          <w:sz w:val="32"/>
                          <w:szCs w:val="32"/>
                        </w:rPr>
                        <w:t>村两委审核</w:t>
                      </w:r>
                    </w:p>
                    <w:p>
                      <w:pPr>
                        <w:jc w:val="center"/>
                        <w:rPr>
                          <w:rFonts w:ascii="黑体" w:hAnsi="黑体" w:eastAsia="黑体" w:cs="黑体"/>
                          <w:color w:val="000000"/>
                          <w:kern w:val="0"/>
                          <w:sz w:val="32"/>
                          <w:szCs w:val="32"/>
                        </w:rPr>
                      </w:pPr>
                    </w:p>
                  </w:txbxContent>
                </v:textbox>
              </v:shape>
            </w:pict>
          </mc:Fallback>
        </mc:AlternateContent>
      </w:r>
    </w:p>
    <w:p>
      <w:pPr>
        <w:rPr>
          <w:rFonts w:ascii="宋体" w:hAnsi="宋体" w:eastAsia="方正小标宋简体" w:cs="宋体"/>
          <w:b w:val="0"/>
          <w:bCs w:val="0"/>
          <w:sz w:val="24"/>
          <w:szCs w:val="24"/>
        </w:rPr>
      </w:pPr>
    </w:p>
    <w:p>
      <w:pPr>
        <w:rPr>
          <w:rFonts w:ascii="宋体" w:hAnsi="宋体" w:eastAsia="方正小标宋简体" w:cs="宋体"/>
          <w:b w:val="0"/>
          <w:bCs w:val="0"/>
          <w:sz w:val="24"/>
          <w:szCs w:val="24"/>
        </w:rPr>
      </w:pPr>
    </w:p>
    <w:p>
      <w:pPr>
        <w:rPr>
          <w:rFonts w:ascii="宋体" w:hAnsi="宋体" w:eastAsia="方正小标宋简体" w:cs="宋体"/>
          <w:b w:val="0"/>
          <w:bCs w:val="0"/>
          <w:sz w:val="24"/>
          <w:szCs w:val="24"/>
        </w:rPr>
      </w:pPr>
    </w:p>
    <w:p>
      <w:pPr>
        <w:rPr>
          <w:rFonts w:ascii="宋体" w:hAnsi="宋体" w:eastAsia="方正小标宋简体" w:cs="宋体"/>
          <w:b w:val="0"/>
          <w:bCs w:val="0"/>
          <w:sz w:val="24"/>
          <w:szCs w:val="24"/>
        </w:rPr>
      </w:pPr>
      <w:r>
        <w:rPr>
          <w:rFonts w:ascii="宋体" w:hAnsi="宋体" w:eastAsia="方正小标宋简体" w:cs="宋体"/>
          <w:b w:val="0"/>
          <w:bCs w:val="0"/>
          <w:sz w:val="24"/>
          <w:szCs w:val="24"/>
        </w:rPr>
        <mc:AlternateContent>
          <mc:Choice Requires="wps">
            <w:drawing>
              <wp:anchor distT="0" distB="0" distL="114300" distR="114300" simplePos="0" relativeHeight="251662336" behindDoc="0" locked="0" layoutInCell="1" allowOverlap="1">
                <wp:simplePos x="0" y="0"/>
                <wp:positionH relativeFrom="column">
                  <wp:posOffset>2855595</wp:posOffset>
                </wp:positionH>
                <wp:positionV relativeFrom="paragraph">
                  <wp:posOffset>454025</wp:posOffset>
                </wp:positionV>
                <wp:extent cx="7620" cy="278130"/>
                <wp:effectExtent l="48895" t="0" r="57785" b="7620"/>
                <wp:wrapNone/>
                <wp:docPr id="38" name="直接箭头连接符 38"/>
                <wp:cNvGraphicFramePr/>
                <a:graphic xmlns:a="http://schemas.openxmlformats.org/drawingml/2006/main">
                  <a:graphicData uri="http://schemas.microsoft.com/office/word/2010/wordprocessingShape">
                    <wps:wsp>
                      <wps:cNvCnPr/>
                      <wps:spPr>
                        <a:xfrm>
                          <a:off x="0" y="0"/>
                          <a:ext cx="7620" cy="278130"/>
                        </a:xfrm>
                        <a:prstGeom prst="straightConnector1">
                          <a:avLst/>
                        </a:prstGeom>
                        <a:noFill/>
                        <a:ln w="19050" cap="flat" cmpd="sng" algn="ctr">
                          <a:solidFill>
                            <a:srgbClr val="000000"/>
                          </a:solidFill>
                          <a:prstDash val="solid"/>
                          <a:miter lim="800000"/>
                          <a:tailEnd type="arrow" w="med" len="med"/>
                        </a:ln>
                        <a:effectLst/>
                      </wps:spPr>
                      <wps:bodyPr/>
                    </wps:wsp>
                  </a:graphicData>
                </a:graphic>
              </wp:anchor>
            </w:drawing>
          </mc:Choice>
          <mc:Fallback>
            <w:pict>
              <v:shape id="_x0000_s1026" o:spid="_x0000_s1026" o:spt="32" type="#_x0000_t32" style="position:absolute;left:0pt;margin-left:224.85pt;margin-top:35.75pt;height:21.9pt;width:0.6pt;z-index:251662336;mso-width-relative:page;mso-height-relative:page;" filled="f" stroked="t" coordsize="21600,21600" o:gfxdata="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">
                <v:fill on="f" focussize="0,0"/>
                <v:stroke weight="1.5pt" color="#000000" miterlimit="8" joinstyle="miter" endarrow="open"/>
                <v:imagedata o:title=""/>
                <o:lock v:ext="edit" aspectratio="f"/>
              </v:shape>
            </w:pict>
          </mc:Fallback>
        </mc:AlternateContent>
      </w:r>
      <w:r>
        <w:rPr>
          <w:rFonts w:ascii="宋体" w:hAnsi="宋体" w:eastAsia="方正小标宋简体" w:cs="宋体"/>
          <w:b w:val="0"/>
          <w:bCs w:val="0"/>
          <w:sz w:val="24"/>
          <w:szCs w:val="24"/>
        </w:rPr>
        <mc:AlternateContent>
          <mc:Choice Requires="wps">
            <w:drawing>
              <wp:anchor distT="0" distB="0" distL="114300" distR="114300" simplePos="0" relativeHeight="251668480" behindDoc="0" locked="0" layoutInCell="1" allowOverlap="1">
                <wp:simplePos x="0" y="0"/>
                <wp:positionH relativeFrom="column">
                  <wp:posOffset>1318895</wp:posOffset>
                </wp:positionH>
                <wp:positionV relativeFrom="paragraph">
                  <wp:posOffset>1393190</wp:posOffset>
                </wp:positionV>
                <wp:extent cx="3068320" cy="438150"/>
                <wp:effectExtent l="6350" t="6350" r="11430" b="12700"/>
                <wp:wrapNone/>
                <wp:docPr id="39" name="流程图: 过程 39"/>
                <wp:cNvGraphicFramePr/>
                <a:graphic xmlns:a="http://schemas.openxmlformats.org/drawingml/2006/main">
                  <a:graphicData uri="http://schemas.microsoft.com/office/word/2010/wordprocessingShape">
                    <wps:wsp>
                      <wps:cNvSpPr/>
                      <wps:spPr>
                        <a:xfrm>
                          <a:off x="0" y="0"/>
                          <a:ext cx="3068320" cy="438150"/>
                        </a:xfrm>
                        <a:prstGeom prst="flowChartProcess">
                          <a:avLst/>
                        </a:prstGeom>
                        <a:solidFill>
                          <a:srgbClr val="FFFFFF"/>
                        </a:solidFill>
                        <a:ln w="12700" cap="flat" cmpd="sng" algn="ctr">
                          <a:solidFill>
                            <a:srgbClr val="000000"/>
                          </a:solidFill>
                          <a:prstDash val="solid"/>
                          <a:miter lim="800000"/>
                        </a:ln>
                        <a:effectLst/>
                      </wps:spPr>
                      <wps:txbx>
                        <w:txbxContent>
                          <w:p>
                            <w:pPr>
                              <w:jc w:val="center"/>
                              <w:rPr>
                                <w:rFonts w:ascii="黑体" w:hAnsi="黑体" w:eastAsia="黑体" w:cs="黑体"/>
                                <w:color w:val="000000"/>
                                <w:kern w:val="0"/>
                                <w:sz w:val="32"/>
                                <w:szCs w:val="32"/>
                              </w:rPr>
                            </w:pPr>
                            <w:r>
                              <w:rPr>
                                <w:rFonts w:hint="eastAsia" w:ascii="黑体" w:hAnsi="黑体" w:eastAsia="黑体" w:cs="黑体"/>
                                <w:color w:val="000000"/>
                                <w:kern w:val="0"/>
                                <w:sz w:val="32"/>
                                <w:szCs w:val="32"/>
                              </w:rPr>
                              <w:t>项目施工</w:t>
                            </w:r>
                          </w:p>
                          <w:p/>
                        </w:txbxContent>
                      </wps:txbx>
                      <wps:bodyPr rot="0" spcFirstLastPara="0" vertOverflow="overflow" horzOverflow="overflow" vert="horz" wrap="square" lIns="91440" tIns="45720" rIns="91440" bIns="45720" numCol="1" spcCol="0" rtlCol="0" fromWordArt="false" anchor="ctr" anchorCtr="false" forceAA="false" compatLnSpc="true">
                        <a:noAutofit/>
                      </wps:bodyPr>
                    </wps:wsp>
                  </a:graphicData>
                </a:graphic>
              </wp:anchor>
            </w:drawing>
          </mc:Choice>
          <mc:Fallback>
            <w:pict>
              <v:shape id="_x0000_s1026" o:spid="_x0000_s1026" o:spt="109" type="#_x0000_t109" style="position:absolute;left:0pt;margin-left:103.85pt;margin-top:109.7pt;height:34.5pt;width:241.6pt;z-index:251668480;v-text-anchor:middle;mso-width-relative:page;mso-height-relative:page;" fillcolor="#FFFFFF" filled="t" stroked="t" coordsize="21600,21600" o:gfxdata="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">
                <v:fill on="t" focussize="0,0"/>
                <v:stroke weight="1pt" color="#000000" miterlimit="8" joinstyle="miter"/>
                <v:imagedata o:title=""/>
                <o:lock v:ext="edit" aspectratio="f"/>
                <v:textbox>
                  <w:txbxContent>
                    <w:p>
                      <w:pPr>
                        <w:jc w:val="center"/>
                        <w:rPr>
                          <w:rFonts w:ascii="黑体" w:hAnsi="黑体" w:eastAsia="黑体" w:cs="黑体"/>
                          <w:color w:val="000000"/>
                          <w:kern w:val="0"/>
                          <w:sz w:val="32"/>
                          <w:szCs w:val="32"/>
                        </w:rPr>
                      </w:pPr>
                      <w:r>
                        <w:rPr>
                          <w:rFonts w:hint="eastAsia" w:ascii="黑体" w:hAnsi="黑体" w:eastAsia="黑体" w:cs="黑体"/>
                          <w:color w:val="000000"/>
                          <w:kern w:val="0"/>
                          <w:sz w:val="32"/>
                          <w:szCs w:val="32"/>
                        </w:rPr>
                        <w:t>项目施工</w:t>
                      </w:r>
                    </w:p>
                    <w:p/>
                  </w:txbxContent>
                </v:textbox>
              </v:shape>
            </w:pict>
          </mc:Fallback>
        </mc:AlternateContent>
      </w:r>
    </w:p>
    <w:p>
      <w:pPr>
        <w:rPr>
          <w:rFonts w:ascii="宋体" w:hAnsi="宋体" w:eastAsia="方正小标宋简体" w:cs="宋体"/>
          <w:b w:val="0"/>
          <w:bCs w:val="0"/>
          <w:sz w:val="24"/>
          <w:szCs w:val="24"/>
        </w:rPr>
      </w:pPr>
      <w:r>
        <w:rPr>
          <w:rFonts w:ascii="宋体" w:hAnsi="宋体" w:eastAsia="方正小标宋简体" w:cs="宋体"/>
          <w:b w:val="0"/>
          <w:bCs w:val="0"/>
          <w:sz w:val="24"/>
          <w:szCs w:val="24"/>
        </w:rPr>
        <mc:AlternateContent>
          <mc:Choice Requires="wps">
            <w:drawing>
              <wp:anchor distT="0" distB="0" distL="114300" distR="114300" simplePos="0" relativeHeight="251665408" behindDoc="0" locked="0" layoutInCell="1" allowOverlap="1">
                <wp:simplePos x="0" y="0"/>
                <wp:positionH relativeFrom="column">
                  <wp:posOffset>1309370</wp:posOffset>
                </wp:positionH>
                <wp:positionV relativeFrom="paragraph">
                  <wp:posOffset>-137795</wp:posOffset>
                </wp:positionV>
                <wp:extent cx="3086735" cy="428625"/>
                <wp:effectExtent l="6350" t="6350" r="12065" b="22225"/>
                <wp:wrapNone/>
                <wp:docPr id="36" name="流程图: 过程 36"/>
                <wp:cNvGraphicFramePr/>
                <a:graphic xmlns:a="http://schemas.openxmlformats.org/drawingml/2006/main">
                  <a:graphicData uri="http://schemas.microsoft.com/office/word/2010/wordprocessingShape">
                    <wps:wsp>
                      <wps:cNvSpPr/>
                      <wps:spPr>
                        <a:xfrm>
                          <a:off x="0" y="0"/>
                          <a:ext cx="3086735" cy="428625"/>
                        </a:xfrm>
                        <a:prstGeom prst="flowChartProcess">
                          <a:avLst/>
                        </a:prstGeom>
                        <a:solidFill>
                          <a:srgbClr val="FFFFFF"/>
                        </a:solidFill>
                        <a:ln w="12700" cap="flat" cmpd="sng" algn="ctr">
                          <a:solidFill>
                            <a:srgbClr val="000000"/>
                          </a:solidFill>
                          <a:prstDash val="solid"/>
                          <a:miter lim="800000"/>
                        </a:ln>
                        <a:effectLst/>
                      </wps:spPr>
                      <wps:txbx>
                        <w:txbxContent>
                          <w:p>
                            <w:pPr>
                              <w:ind w:left="-266" w:leftChars="-95" w:firstLine="198" w:firstLineChars="62"/>
                              <w:jc w:val="center"/>
                              <w:rPr>
                                <w:rFonts w:hint="default" w:ascii="黑体" w:hAnsi="黑体" w:eastAsia="黑体" w:cs="黑体"/>
                                <w:color w:val="000000"/>
                                <w:kern w:val="0"/>
                                <w:sz w:val="32"/>
                                <w:szCs w:val="32"/>
                                <w:lang w:val="en-US" w:eastAsia="zh-CN"/>
                              </w:rPr>
                            </w:pPr>
                            <w:r>
                              <w:rPr>
                                <w:rFonts w:hint="eastAsia" w:ascii="黑体" w:hAnsi="黑体" w:eastAsia="黑体" w:cs="黑体"/>
                                <w:color w:val="000000"/>
                                <w:kern w:val="0"/>
                                <w:sz w:val="32"/>
                                <w:szCs w:val="32"/>
                                <w:lang w:val="en-US" w:eastAsia="zh-CN"/>
                              </w:rPr>
                              <w:t>镇或</w:t>
                            </w:r>
                            <w:r>
                              <w:rPr>
                                <w:rFonts w:hint="eastAsia" w:ascii="黑体" w:hAnsi="黑体" w:eastAsia="黑体" w:cs="黑体"/>
                                <w:color w:val="000000"/>
                                <w:kern w:val="0"/>
                                <w:sz w:val="32"/>
                                <w:szCs w:val="32"/>
                              </w:rPr>
                              <w:t>村</w:t>
                            </w:r>
                            <w:r>
                              <w:rPr>
                                <w:rFonts w:hint="eastAsia" w:ascii="黑体" w:hAnsi="黑体" w:eastAsia="黑体" w:cs="黑体"/>
                                <w:color w:val="000000"/>
                                <w:kern w:val="0"/>
                                <w:sz w:val="32"/>
                                <w:szCs w:val="32"/>
                                <w:lang w:val="en-US" w:eastAsia="zh-CN"/>
                              </w:rPr>
                              <w:t>编制实施方案</w:t>
                            </w:r>
                          </w:p>
                          <w:p>
                            <w:pPr>
                              <w:rPr>
                                <w:rFonts w:hint="eastAsia" w:eastAsia="宋体"/>
                                <w:lang w:val="en-US" w:eastAsia="zh-CN"/>
                              </w:rPr>
                            </w:pPr>
                          </w:p>
                        </w:txbxContent>
                      </wps:txbx>
                      <wps:bodyPr rot="0" spcFirstLastPara="0" vertOverflow="overflow" horzOverflow="overflow" vert="horz" wrap="square" lIns="91440" tIns="45720" rIns="91440" bIns="45720" numCol="1" spcCol="0" rtlCol="0" fromWordArt="false" anchor="ctr" anchorCtr="false" forceAA="false" compatLnSpc="true">
                        <a:noAutofit/>
                      </wps:bodyPr>
                    </wps:wsp>
                  </a:graphicData>
                </a:graphic>
              </wp:anchor>
            </w:drawing>
          </mc:Choice>
          <mc:Fallback>
            <w:pict>
              <v:shape id="_x0000_s1026" o:spid="_x0000_s1026" o:spt="109" type="#_x0000_t109" style="position:absolute;left:0pt;margin-left:103.1pt;margin-top:-10.85pt;height:33.75pt;width:243.05pt;z-index:251665408;v-text-anchor:middle;mso-width-relative:page;mso-height-relative:page;" fillcolor="#FFFFFF" filled="t" stroked="t" coordsize="21600,21600" o:gfxdata="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">
                <v:fill on="t" focussize="0,0"/>
                <v:stroke weight="1pt" color="#000000" miterlimit="8" joinstyle="miter"/>
                <v:imagedata o:title=""/>
                <o:lock v:ext="edit" aspectratio="f"/>
                <v:textbox>
                  <w:txbxContent>
                    <w:p>
                      <w:pPr>
                        <w:ind w:left="-266" w:leftChars="-95" w:firstLine="198" w:firstLineChars="62"/>
                        <w:jc w:val="center"/>
                        <w:rPr>
                          <w:rFonts w:hint="default" w:ascii="黑体" w:hAnsi="黑体" w:eastAsia="黑体" w:cs="黑体"/>
                          <w:color w:val="000000"/>
                          <w:kern w:val="0"/>
                          <w:sz w:val="32"/>
                          <w:szCs w:val="32"/>
                          <w:lang w:val="en-US" w:eastAsia="zh-CN"/>
                        </w:rPr>
                      </w:pPr>
                      <w:r>
                        <w:rPr>
                          <w:rFonts w:hint="eastAsia" w:ascii="黑体" w:hAnsi="黑体" w:eastAsia="黑体" w:cs="黑体"/>
                          <w:color w:val="000000"/>
                          <w:kern w:val="0"/>
                          <w:sz w:val="32"/>
                          <w:szCs w:val="32"/>
                          <w:lang w:val="en-US" w:eastAsia="zh-CN"/>
                        </w:rPr>
                        <w:t>镇或</w:t>
                      </w:r>
                      <w:r>
                        <w:rPr>
                          <w:rFonts w:hint="eastAsia" w:ascii="黑体" w:hAnsi="黑体" w:eastAsia="黑体" w:cs="黑体"/>
                          <w:color w:val="000000"/>
                          <w:kern w:val="0"/>
                          <w:sz w:val="32"/>
                          <w:szCs w:val="32"/>
                        </w:rPr>
                        <w:t>村</w:t>
                      </w:r>
                      <w:r>
                        <w:rPr>
                          <w:rFonts w:hint="eastAsia" w:ascii="黑体" w:hAnsi="黑体" w:eastAsia="黑体" w:cs="黑体"/>
                          <w:color w:val="000000"/>
                          <w:kern w:val="0"/>
                          <w:sz w:val="32"/>
                          <w:szCs w:val="32"/>
                          <w:lang w:val="en-US" w:eastAsia="zh-CN"/>
                        </w:rPr>
                        <w:t>编制实施方案</w:t>
                      </w:r>
                    </w:p>
                    <w:p>
                      <w:pPr>
                        <w:rPr>
                          <w:rFonts w:hint="eastAsia" w:eastAsia="宋体"/>
                          <w:lang w:val="en-US" w:eastAsia="zh-CN"/>
                        </w:rPr>
                      </w:pPr>
                    </w:p>
                  </w:txbxContent>
                </v:textbox>
              </v:shape>
            </w:pict>
          </mc:Fallback>
        </mc:AlternateContent>
      </w:r>
      <w:r>
        <w:rPr>
          <w:rFonts w:ascii="宋体" w:hAnsi="宋体" w:eastAsia="方正小标宋简体" w:cs="宋体"/>
          <w:b w:val="0"/>
          <w:bCs w:val="0"/>
          <w:sz w:val="24"/>
          <w:szCs w:val="24"/>
        </w:rPr>
        <mc:AlternateContent>
          <mc:Choice Requires="wps">
            <w:drawing>
              <wp:anchor distT="0" distB="0" distL="114300" distR="114300" simplePos="0" relativeHeight="251667456" behindDoc="0" locked="0" layoutInCell="1" allowOverlap="1">
                <wp:simplePos x="0" y="0"/>
                <wp:positionH relativeFrom="column">
                  <wp:posOffset>2903220</wp:posOffset>
                </wp:positionH>
                <wp:positionV relativeFrom="paragraph">
                  <wp:posOffset>-417195</wp:posOffset>
                </wp:positionV>
                <wp:extent cx="7620" cy="278130"/>
                <wp:effectExtent l="48895" t="0" r="57785" b="7620"/>
                <wp:wrapNone/>
                <wp:docPr id="41" name="直接箭头连接符 41"/>
                <wp:cNvGraphicFramePr/>
                <a:graphic xmlns:a="http://schemas.openxmlformats.org/drawingml/2006/main">
                  <a:graphicData uri="http://schemas.microsoft.com/office/word/2010/wordprocessingShape">
                    <wps:wsp>
                      <wps:cNvCnPr/>
                      <wps:spPr>
                        <a:xfrm>
                          <a:off x="0" y="0"/>
                          <a:ext cx="7620" cy="278130"/>
                        </a:xfrm>
                        <a:prstGeom prst="straightConnector1">
                          <a:avLst/>
                        </a:prstGeom>
                        <a:noFill/>
                        <a:ln w="19050" cap="flat" cmpd="sng" algn="ctr">
                          <a:solidFill>
                            <a:srgbClr val="000000"/>
                          </a:solidFill>
                          <a:prstDash val="solid"/>
                          <a:miter lim="800000"/>
                          <a:tailEnd type="arrow" w="med" len="med"/>
                        </a:ln>
                        <a:effectLst/>
                      </wps:spPr>
                      <wps:bodyPr/>
                    </wps:wsp>
                  </a:graphicData>
                </a:graphic>
              </wp:anchor>
            </w:drawing>
          </mc:Choice>
          <mc:Fallback>
            <w:pict>
              <v:shape id="_x0000_s1026" o:spid="_x0000_s1026" o:spt="32" type="#_x0000_t32" style="position:absolute;left:0pt;margin-left:228.6pt;margin-top:-32.85pt;height:21.9pt;width:0.6pt;z-index:251667456;mso-width-relative:page;mso-height-relative:page;" filled="f" stroked="t" coordsize="21600,21600" o:gfxdata="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">
                <v:fill on="f" focussize="0,0"/>
                <v:stroke weight="1.5pt" color="#000000" miterlimit="8" joinstyle="miter" endarrow="open"/>
                <v:imagedata o:title=""/>
                <o:lock v:ext="edit" aspectratio="f"/>
              </v:shape>
            </w:pict>
          </mc:Fallback>
        </mc:AlternateContent>
      </w:r>
      <w:r>
        <w:rPr>
          <w:rFonts w:ascii="宋体" w:hAnsi="宋体" w:eastAsia="方正小标宋简体" w:cs="宋体"/>
          <w:b w:val="0"/>
          <w:bCs w:val="0"/>
          <w:sz w:val="24"/>
          <w:szCs w:val="24"/>
        </w:rPr>
        <mc:AlternateContent>
          <mc:Choice Requires="wps">
            <w:drawing>
              <wp:anchor distT="0" distB="0" distL="114300" distR="114300" simplePos="0" relativeHeight="251666432" behindDoc="0" locked="0" layoutInCell="1" allowOverlap="1">
                <wp:simplePos x="0" y="0"/>
                <wp:positionH relativeFrom="column">
                  <wp:posOffset>1310640</wp:posOffset>
                </wp:positionH>
                <wp:positionV relativeFrom="paragraph">
                  <wp:posOffset>523875</wp:posOffset>
                </wp:positionV>
                <wp:extent cx="3084195" cy="438150"/>
                <wp:effectExtent l="6350" t="6350" r="14605" b="12700"/>
                <wp:wrapNone/>
                <wp:docPr id="6" name="流程图: 过程 6"/>
                <wp:cNvGraphicFramePr/>
                <a:graphic xmlns:a="http://schemas.openxmlformats.org/drawingml/2006/main">
                  <a:graphicData uri="http://schemas.microsoft.com/office/word/2010/wordprocessingShape">
                    <wps:wsp>
                      <wps:cNvSpPr/>
                      <wps:spPr>
                        <a:xfrm>
                          <a:off x="0" y="0"/>
                          <a:ext cx="3084195" cy="438150"/>
                        </a:xfrm>
                        <a:prstGeom prst="flowChartProcess">
                          <a:avLst/>
                        </a:prstGeom>
                        <a:solidFill>
                          <a:srgbClr val="FFFFFF"/>
                        </a:solidFill>
                        <a:ln w="12700" cap="flat" cmpd="sng" algn="ctr">
                          <a:solidFill>
                            <a:srgbClr val="000000"/>
                          </a:solidFill>
                          <a:prstDash val="solid"/>
                          <a:miter lim="800000"/>
                        </a:ln>
                        <a:effectLst/>
                      </wps:spPr>
                      <wps:txbx>
                        <w:txbxContent>
                          <w:p>
                            <w:pPr>
                              <w:jc w:val="center"/>
                              <w:rPr>
                                <w:rFonts w:ascii="黑体" w:hAnsi="黑体" w:eastAsia="黑体" w:cs="黑体"/>
                                <w:color w:val="000000"/>
                                <w:kern w:val="0"/>
                                <w:sz w:val="32"/>
                                <w:szCs w:val="32"/>
                              </w:rPr>
                            </w:pPr>
                            <w:r>
                              <w:rPr>
                                <w:rFonts w:hint="eastAsia" w:ascii="黑体" w:hAnsi="黑体" w:eastAsia="黑体" w:cs="黑体"/>
                                <w:color w:val="000000"/>
                                <w:kern w:val="0"/>
                                <w:sz w:val="32"/>
                                <w:szCs w:val="32"/>
                              </w:rPr>
                              <w:t>乡镇人民政府审批</w:t>
                            </w:r>
                          </w:p>
                          <w:p/>
                        </w:txbxContent>
                      </wps:txbx>
                      <wps:bodyPr rot="0" spcFirstLastPara="0" vertOverflow="overflow" horzOverflow="overflow" vert="horz" wrap="square" lIns="91440" tIns="45720" rIns="91440" bIns="45720" numCol="1" spcCol="0" rtlCol="0" fromWordArt="false" anchor="ctr" anchorCtr="false" forceAA="false" compatLnSpc="true">
                        <a:noAutofit/>
                      </wps:bodyPr>
                    </wps:wsp>
                  </a:graphicData>
                </a:graphic>
              </wp:anchor>
            </w:drawing>
          </mc:Choice>
          <mc:Fallback>
            <w:pict>
              <v:shape id="_x0000_s1026" o:spid="_x0000_s1026" o:spt="109" type="#_x0000_t109" style="position:absolute;left:0pt;margin-left:103.2pt;margin-top:41.25pt;height:34.5pt;width:242.85pt;z-index:251666432;v-text-anchor:middle;mso-width-relative:page;mso-height-relative:page;" fillcolor="#FFFFFF" filled="t" stroked="t" coordsize="21600,21600" o:gfxdata="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">
                <v:fill on="t" focussize="0,0"/>
                <v:stroke weight="1pt" color="#000000" miterlimit="8" joinstyle="miter"/>
                <v:imagedata o:title=""/>
                <o:lock v:ext="edit" aspectratio="f"/>
                <v:textbox>
                  <w:txbxContent>
                    <w:p>
                      <w:pPr>
                        <w:jc w:val="center"/>
                        <w:rPr>
                          <w:rFonts w:ascii="黑体" w:hAnsi="黑体" w:eastAsia="黑体" w:cs="黑体"/>
                          <w:color w:val="000000"/>
                          <w:kern w:val="0"/>
                          <w:sz w:val="32"/>
                          <w:szCs w:val="32"/>
                        </w:rPr>
                      </w:pPr>
                      <w:r>
                        <w:rPr>
                          <w:rFonts w:hint="eastAsia" w:ascii="黑体" w:hAnsi="黑体" w:eastAsia="黑体" w:cs="黑体"/>
                          <w:color w:val="000000"/>
                          <w:kern w:val="0"/>
                          <w:sz w:val="32"/>
                          <w:szCs w:val="32"/>
                        </w:rPr>
                        <w:t>乡镇人民政府审批</w:t>
                      </w:r>
                    </w:p>
                    <w:p/>
                  </w:txbxContent>
                </v:textbox>
              </v:shape>
            </w:pict>
          </mc:Fallback>
        </mc:AlternateContent>
      </w:r>
    </w:p>
    <w:p>
      <w:pPr>
        <w:rPr>
          <w:rFonts w:ascii="宋体" w:hAnsi="宋体" w:eastAsia="方正小标宋简体" w:cs="宋体"/>
          <w:b w:val="0"/>
          <w:bCs w:val="0"/>
          <w:sz w:val="24"/>
          <w:szCs w:val="24"/>
        </w:rPr>
      </w:pPr>
      <w:r>
        <w:rPr>
          <w:rFonts w:ascii="宋体" w:hAnsi="宋体" w:eastAsia="方正小标宋简体" w:cs="宋体"/>
          <w:b w:val="0"/>
          <w:bCs w:val="0"/>
          <w:sz w:val="24"/>
          <w:szCs w:val="24"/>
        </w:rPr>
        <mc:AlternateContent>
          <mc:Choice Requires="wps">
            <w:drawing>
              <wp:anchor distT="0" distB="0" distL="114300" distR="114300" simplePos="0" relativeHeight="251670528" behindDoc="0" locked="0" layoutInCell="1" allowOverlap="1">
                <wp:simplePos x="0" y="0"/>
                <wp:positionH relativeFrom="column">
                  <wp:posOffset>2846070</wp:posOffset>
                </wp:positionH>
                <wp:positionV relativeFrom="paragraph">
                  <wp:posOffset>730885</wp:posOffset>
                </wp:positionV>
                <wp:extent cx="7620" cy="278130"/>
                <wp:effectExtent l="48895" t="0" r="57785" b="7620"/>
                <wp:wrapNone/>
                <wp:docPr id="40" name="直接箭头连接符 40"/>
                <wp:cNvGraphicFramePr/>
                <a:graphic xmlns:a="http://schemas.openxmlformats.org/drawingml/2006/main">
                  <a:graphicData uri="http://schemas.microsoft.com/office/word/2010/wordprocessingShape">
                    <wps:wsp>
                      <wps:cNvCnPr/>
                      <wps:spPr>
                        <a:xfrm>
                          <a:off x="0" y="0"/>
                          <a:ext cx="7620" cy="278130"/>
                        </a:xfrm>
                        <a:prstGeom prst="straightConnector1">
                          <a:avLst/>
                        </a:prstGeom>
                        <a:noFill/>
                        <a:ln w="19050" cap="flat" cmpd="sng" algn="ctr">
                          <a:solidFill>
                            <a:srgbClr val="000000"/>
                          </a:solidFill>
                          <a:prstDash val="solid"/>
                          <a:miter lim="800000"/>
                          <a:tailEnd type="arrow" w="med" len="med"/>
                        </a:ln>
                        <a:effectLst/>
                      </wps:spPr>
                      <wps:bodyPr/>
                    </wps:wsp>
                  </a:graphicData>
                </a:graphic>
              </wp:anchor>
            </w:drawing>
          </mc:Choice>
          <mc:Fallback>
            <w:pict>
              <v:shape id="_x0000_s1026" o:spid="_x0000_s1026" o:spt="32" type="#_x0000_t32" style="position:absolute;left:0pt;margin-left:224.1pt;margin-top:57.55pt;height:21.9pt;width:0.6pt;z-index:251670528;mso-width-relative:page;mso-height-relative:page;" filled="f" stroked="t" coordsize="21600,21600" o:gfxdata="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">
                <v:fill on="f" focussize="0,0"/>
                <v:stroke weight="1.5pt" color="#000000" miterlimit="8" joinstyle="miter" endarrow="open"/>
                <v:imagedata o:title=""/>
                <o:lock v:ext="edit" aspectratio="f"/>
              </v:shape>
            </w:pict>
          </mc:Fallback>
        </mc:AlternateContent>
      </w:r>
      <w:r>
        <w:rPr>
          <w:rFonts w:ascii="宋体" w:hAnsi="宋体" w:eastAsia="方正小标宋简体" w:cs="宋体"/>
          <w:b w:val="0"/>
          <w:bCs w:val="0"/>
          <w:sz w:val="24"/>
          <w:szCs w:val="24"/>
        </w:rPr>
        <mc:AlternateContent>
          <mc:Choice Requires="wps">
            <w:drawing>
              <wp:anchor distT="0" distB="0" distL="114300" distR="114300" simplePos="0" relativeHeight="251669504" behindDoc="0" locked="0" layoutInCell="1" allowOverlap="1">
                <wp:simplePos x="0" y="0"/>
                <wp:positionH relativeFrom="column">
                  <wp:posOffset>1329055</wp:posOffset>
                </wp:positionH>
                <wp:positionV relativeFrom="paragraph">
                  <wp:posOffset>1668145</wp:posOffset>
                </wp:positionV>
                <wp:extent cx="3047365" cy="438150"/>
                <wp:effectExtent l="6350" t="6350" r="13335" b="12700"/>
                <wp:wrapNone/>
                <wp:docPr id="42" name="流程图: 过程 42"/>
                <wp:cNvGraphicFramePr/>
                <a:graphic xmlns:a="http://schemas.openxmlformats.org/drawingml/2006/main">
                  <a:graphicData uri="http://schemas.microsoft.com/office/word/2010/wordprocessingShape">
                    <wps:wsp>
                      <wps:cNvSpPr/>
                      <wps:spPr>
                        <a:xfrm>
                          <a:off x="0" y="0"/>
                          <a:ext cx="3047365" cy="438150"/>
                        </a:xfrm>
                        <a:prstGeom prst="flowChartProcess">
                          <a:avLst/>
                        </a:prstGeom>
                        <a:solidFill>
                          <a:srgbClr val="FFFFFF"/>
                        </a:solidFill>
                        <a:ln w="12700" cap="flat" cmpd="sng" algn="ctr">
                          <a:solidFill>
                            <a:srgbClr val="000000"/>
                          </a:solidFill>
                          <a:prstDash val="solid"/>
                          <a:miter lim="800000"/>
                        </a:ln>
                        <a:effectLst/>
                      </wps:spPr>
                      <wps:txbx>
                        <w:txbxContent>
                          <w:p>
                            <w:pPr>
                              <w:jc w:val="center"/>
                              <w:rPr>
                                <w:rFonts w:ascii="黑体" w:hAnsi="黑体" w:eastAsia="黑体" w:cs="黑体"/>
                                <w:color w:val="000000"/>
                                <w:kern w:val="0"/>
                                <w:sz w:val="32"/>
                                <w:szCs w:val="32"/>
                              </w:rPr>
                            </w:pPr>
                            <w:r>
                              <w:rPr>
                                <w:rFonts w:hint="eastAsia" w:ascii="黑体" w:hAnsi="黑体" w:eastAsia="黑体" w:cs="黑体"/>
                                <w:color w:val="000000"/>
                                <w:kern w:val="0"/>
                                <w:sz w:val="32"/>
                                <w:szCs w:val="32"/>
                              </w:rPr>
                              <w:t>村两委（理事会）初验</w:t>
                            </w:r>
                          </w:p>
                          <w:p/>
                        </w:txbxContent>
                      </wps:txbx>
                      <wps:bodyPr rot="0" spcFirstLastPara="0" vertOverflow="overflow" horzOverflow="overflow" vert="horz" wrap="square" lIns="91440" tIns="45720" rIns="91440" bIns="45720" numCol="1" spcCol="0" rtlCol="0" fromWordArt="false" anchor="ctr" anchorCtr="false" forceAA="false" compatLnSpc="true">
                        <a:noAutofit/>
                      </wps:bodyPr>
                    </wps:wsp>
                  </a:graphicData>
                </a:graphic>
              </wp:anchor>
            </w:drawing>
          </mc:Choice>
          <mc:Fallback>
            <w:pict>
              <v:shape id="_x0000_s1026" o:spid="_x0000_s1026" o:spt="109" type="#_x0000_t109" style="position:absolute;left:0pt;margin-left:104.65pt;margin-top:131.35pt;height:34.5pt;width:239.95pt;z-index:251669504;v-text-anchor:middle;mso-width-relative:page;mso-height-relative:page;" fillcolor="#FFFFFF" filled="t" stroked="t" coordsize="21600,21600" o:gfxdata="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">
                <v:fill on="t" focussize="0,0"/>
                <v:stroke weight="1pt" color="#000000" miterlimit="8" joinstyle="miter"/>
                <v:imagedata o:title=""/>
                <o:lock v:ext="edit" aspectratio="f"/>
                <v:textbox>
                  <w:txbxContent>
                    <w:p>
                      <w:pPr>
                        <w:jc w:val="center"/>
                        <w:rPr>
                          <w:rFonts w:ascii="黑体" w:hAnsi="黑体" w:eastAsia="黑体" w:cs="黑体"/>
                          <w:color w:val="000000"/>
                          <w:kern w:val="0"/>
                          <w:sz w:val="32"/>
                          <w:szCs w:val="32"/>
                        </w:rPr>
                      </w:pPr>
                      <w:r>
                        <w:rPr>
                          <w:rFonts w:hint="eastAsia" w:ascii="黑体" w:hAnsi="黑体" w:eastAsia="黑体" w:cs="黑体"/>
                          <w:color w:val="000000"/>
                          <w:kern w:val="0"/>
                          <w:sz w:val="32"/>
                          <w:szCs w:val="32"/>
                        </w:rPr>
                        <w:t>村两委（理事会）初验</w:t>
                      </w:r>
                    </w:p>
                    <w:p/>
                  </w:txbxContent>
                </v:textbox>
              </v:shape>
            </w:pict>
          </mc:Fallback>
        </mc:AlternateContent>
      </w:r>
    </w:p>
    <w:p>
      <w:pPr>
        <w:pStyle w:val="20"/>
        <w:spacing w:after="0" w:line="560" w:lineRule="exact"/>
        <w:ind w:firstLine="880"/>
        <w:rPr>
          <w:rFonts w:ascii="宋体" w:hAnsi="宋体" w:cs="宋体"/>
          <w:b w:val="0"/>
          <w:bCs w:val="0"/>
          <w:sz w:val="24"/>
          <w:szCs w:val="24"/>
        </w:rPr>
      </w:pPr>
    </w:p>
    <w:p>
      <w:pPr>
        <w:pStyle w:val="20"/>
        <w:spacing w:after="0" w:line="560" w:lineRule="exact"/>
        <w:ind w:left="0" w:leftChars="0" w:firstLine="880"/>
        <w:rPr>
          <w:rFonts w:ascii="宋体" w:hAnsi="宋体" w:cs="宋体"/>
          <w:b w:val="0"/>
          <w:bCs w:val="0"/>
          <w:sz w:val="24"/>
          <w:szCs w:val="24"/>
        </w:rPr>
      </w:pPr>
      <w:r>
        <w:rPr>
          <w:rFonts w:ascii="宋体" w:hAnsi="宋体" w:eastAsia="方正小标宋简体" w:cs="宋体"/>
          <w:b w:val="0"/>
          <w:bCs w:val="0"/>
          <w:sz w:val="24"/>
          <w:szCs w:val="24"/>
        </w:rPr>
        <mc:AlternateContent>
          <mc:Choice Requires="wps">
            <w:drawing>
              <wp:anchor distT="0" distB="0" distL="114300" distR="114300" simplePos="0" relativeHeight="251671552" behindDoc="0" locked="0" layoutInCell="1" allowOverlap="1">
                <wp:simplePos x="0" y="0"/>
                <wp:positionH relativeFrom="column">
                  <wp:posOffset>2827020</wp:posOffset>
                </wp:positionH>
                <wp:positionV relativeFrom="paragraph">
                  <wp:posOffset>850265</wp:posOffset>
                </wp:positionV>
                <wp:extent cx="7620" cy="278130"/>
                <wp:effectExtent l="48895" t="0" r="57785" b="7620"/>
                <wp:wrapNone/>
                <wp:docPr id="43" name="直接箭头连接符 43"/>
                <wp:cNvGraphicFramePr/>
                <a:graphic xmlns:a="http://schemas.openxmlformats.org/drawingml/2006/main">
                  <a:graphicData uri="http://schemas.microsoft.com/office/word/2010/wordprocessingShape">
                    <wps:wsp>
                      <wps:cNvCnPr/>
                      <wps:spPr>
                        <a:xfrm>
                          <a:off x="0" y="0"/>
                          <a:ext cx="7620" cy="278130"/>
                        </a:xfrm>
                        <a:prstGeom prst="straightConnector1">
                          <a:avLst/>
                        </a:prstGeom>
                        <a:noFill/>
                        <a:ln w="19050" cap="flat" cmpd="sng" algn="ctr">
                          <a:solidFill>
                            <a:srgbClr val="000000"/>
                          </a:solidFill>
                          <a:prstDash val="solid"/>
                          <a:miter lim="800000"/>
                          <a:tailEnd type="arrow" w="med" len="med"/>
                        </a:ln>
                        <a:effectLst/>
                      </wps:spPr>
                      <wps:bodyPr/>
                    </wps:wsp>
                  </a:graphicData>
                </a:graphic>
              </wp:anchor>
            </w:drawing>
          </mc:Choice>
          <mc:Fallback>
            <w:pict>
              <v:shape id="_x0000_s1026" o:spid="_x0000_s1026" o:spt="32" type="#_x0000_t32" style="position:absolute;left:0pt;margin-left:222.6pt;margin-top:66.95pt;height:21.9pt;width:0.6pt;z-index:251671552;mso-width-relative:page;mso-height-relative:page;" filled="f" stroked="t" coordsize="21600,21600" o:gfxdata="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">
                <v:fill on="f" focussize="0,0"/>
                <v:stroke weight="1.5pt" color="#000000" miterlimit="8" joinstyle="miter" endarrow="open"/>
                <v:imagedata o:title=""/>
                <o:lock v:ext="edit" aspectratio="f"/>
              </v:shape>
            </w:pict>
          </mc:Fallback>
        </mc:AlternateContent>
      </w:r>
      <w:r>
        <w:rPr>
          <w:rFonts w:ascii="宋体" w:hAnsi="宋体" w:eastAsia="方正小标宋简体" w:cs="宋体"/>
          <w:b w:val="0"/>
          <w:bCs w:val="0"/>
          <w:sz w:val="24"/>
          <w:szCs w:val="24"/>
        </w:rPr>
        <mc:AlternateContent>
          <mc:Choice Requires="wps">
            <w:drawing>
              <wp:anchor distT="0" distB="0" distL="114300" distR="114300" simplePos="0" relativeHeight="251673600" behindDoc="0" locked="0" layoutInCell="1" allowOverlap="1">
                <wp:simplePos x="0" y="0"/>
                <wp:positionH relativeFrom="column">
                  <wp:posOffset>1329055</wp:posOffset>
                </wp:positionH>
                <wp:positionV relativeFrom="paragraph">
                  <wp:posOffset>1785620</wp:posOffset>
                </wp:positionV>
                <wp:extent cx="3047365" cy="438150"/>
                <wp:effectExtent l="6350" t="6350" r="13335" b="12700"/>
                <wp:wrapNone/>
                <wp:docPr id="45" name="流程图: 过程 45"/>
                <wp:cNvGraphicFramePr/>
                <a:graphic xmlns:a="http://schemas.openxmlformats.org/drawingml/2006/main">
                  <a:graphicData uri="http://schemas.microsoft.com/office/word/2010/wordprocessingShape">
                    <wps:wsp>
                      <wps:cNvSpPr/>
                      <wps:spPr>
                        <a:xfrm>
                          <a:off x="0" y="0"/>
                          <a:ext cx="3047365" cy="438150"/>
                        </a:xfrm>
                        <a:prstGeom prst="flowChartProcess">
                          <a:avLst/>
                        </a:prstGeom>
                        <a:solidFill>
                          <a:srgbClr val="FFFFFF"/>
                        </a:solidFill>
                        <a:ln w="12700" cap="flat" cmpd="sng" algn="ctr">
                          <a:solidFill>
                            <a:srgbClr val="000000"/>
                          </a:solidFill>
                          <a:prstDash val="solid"/>
                          <a:miter lim="800000"/>
                        </a:ln>
                        <a:effectLst/>
                      </wps:spPr>
                      <wps:txbx>
                        <w:txbxContent>
                          <w:p>
                            <w:pPr>
                              <w:jc w:val="center"/>
                              <w:rPr>
                                <w:rFonts w:ascii="黑体" w:hAnsi="黑体" w:eastAsia="黑体" w:cs="黑体"/>
                                <w:color w:val="000000"/>
                                <w:kern w:val="0"/>
                                <w:sz w:val="32"/>
                                <w:szCs w:val="32"/>
                              </w:rPr>
                            </w:pPr>
                            <w:r>
                              <w:rPr>
                                <w:rFonts w:hint="eastAsia" w:ascii="黑体" w:hAnsi="黑体" w:eastAsia="黑体" w:cs="黑体"/>
                                <w:color w:val="000000"/>
                                <w:kern w:val="0"/>
                                <w:sz w:val="32"/>
                                <w:szCs w:val="32"/>
                              </w:rPr>
                              <w:t>乡镇复核</w:t>
                            </w:r>
                          </w:p>
                          <w:p/>
                        </w:txbxContent>
                      </wps:txbx>
                      <wps:bodyPr rot="0" spcFirstLastPara="0" vertOverflow="overflow" horzOverflow="overflow" vert="horz" wrap="square" lIns="91440" tIns="45720" rIns="91440" bIns="45720" numCol="1" spcCol="0" rtlCol="0" fromWordArt="false" anchor="ctr" anchorCtr="false" forceAA="false" compatLnSpc="true">
                        <a:noAutofit/>
                      </wps:bodyPr>
                    </wps:wsp>
                  </a:graphicData>
                </a:graphic>
              </wp:anchor>
            </w:drawing>
          </mc:Choice>
          <mc:Fallback>
            <w:pict>
              <v:shape id="_x0000_s1026" o:spid="_x0000_s1026" o:spt="109" type="#_x0000_t109" style="position:absolute;left:0pt;margin-left:104.65pt;margin-top:140.6pt;height:34.5pt;width:239.95pt;z-index:251673600;v-text-anchor:middle;mso-width-relative:page;mso-height-relative:page;" fillcolor="#FFFFFF" filled="t" stroked="t" coordsize="21600,21600" o:gfxdata="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">
                <v:fill on="t" focussize="0,0"/>
                <v:stroke weight="1pt" color="#000000" miterlimit="8" joinstyle="miter"/>
                <v:imagedata o:title=""/>
                <o:lock v:ext="edit" aspectratio="f"/>
                <v:textbox>
                  <w:txbxContent>
                    <w:p>
                      <w:pPr>
                        <w:jc w:val="center"/>
                        <w:rPr>
                          <w:rFonts w:ascii="黑体" w:hAnsi="黑体" w:eastAsia="黑体" w:cs="黑体"/>
                          <w:color w:val="000000"/>
                          <w:kern w:val="0"/>
                          <w:sz w:val="32"/>
                          <w:szCs w:val="32"/>
                        </w:rPr>
                      </w:pPr>
                      <w:r>
                        <w:rPr>
                          <w:rFonts w:hint="eastAsia" w:ascii="黑体" w:hAnsi="黑体" w:eastAsia="黑体" w:cs="黑体"/>
                          <w:color w:val="000000"/>
                          <w:kern w:val="0"/>
                          <w:sz w:val="32"/>
                          <w:szCs w:val="32"/>
                        </w:rPr>
                        <w:t>乡镇复核</w:t>
                      </w:r>
                    </w:p>
                    <w:p/>
                  </w:txbxContent>
                </v:textbox>
              </v:shape>
            </w:pict>
          </mc:Fallback>
        </mc:AlternateContent>
      </w:r>
    </w:p>
    <w:p>
      <w:pPr>
        <w:pStyle w:val="20"/>
        <w:spacing w:after="0" w:line="560" w:lineRule="exact"/>
        <w:ind w:left="0" w:leftChars="0"/>
        <w:rPr>
          <w:rFonts w:ascii="宋体" w:hAnsi="宋体" w:cs="宋体"/>
          <w:b w:val="0"/>
          <w:bCs w:val="0"/>
          <w:sz w:val="24"/>
          <w:szCs w:val="24"/>
        </w:rPr>
      </w:pPr>
      <w:r>
        <w:rPr>
          <w:rFonts w:ascii="宋体" w:hAnsi="宋体" w:eastAsia="方正小标宋简体" w:cs="宋体"/>
          <w:b w:val="0"/>
          <w:bCs w:val="0"/>
          <w:sz w:val="24"/>
          <w:szCs w:val="24"/>
        </w:rPr>
        <mc:AlternateContent>
          <mc:Choice Requires="wps">
            <w:drawing>
              <wp:anchor distT="0" distB="0" distL="114300" distR="114300" simplePos="0" relativeHeight="251672576" behindDoc="0" locked="0" layoutInCell="1" allowOverlap="1">
                <wp:simplePos x="0" y="0"/>
                <wp:positionH relativeFrom="column">
                  <wp:posOffset>2827020</wp:posOffset>
                </wp:positionH>
                <wp:positionV relativeFrom="paragraph">
                  <wp:posOffset>1167765</wp:posOffset>
                </wp:positionV>
                <wp:extent cx="7620" cy="278130"/>
                <wp:effectExtent l="48895" t="0" r="57785" b="7620"/>
                <wp:wrapNone/>
                <wp:docPr id="44" name="直接箭头连接符 44"/>
                <wp:cNvGraphicFramePr/>
                <a:graphic xmlns:a="http://schemas.openxmlformats.org/drawingml/2006/main">
                  <a:graphicData uri="http://schemas.microsoft.com/office/word/2010/wordprocessingShape">
                    <wps:wsp>
                      <wps:cNvCnPr/>
                      <wps:spPr>
                        <a:xfrm>
                          <a:off x="0" y="0"/>
                          <a:ext cx="7620" cy="278130"/>
                        </a:xfrm>
                        <a:prstGeom prst="straightConnector1">
                          <a:avLst/>
                        </a:prstGeom>
                        <a:noFill/>
                        <a:ln w="19050" cap="flat" cmpd="sng" algn="ctr">
                          <a:solidFill>
                            <a:srgbClr val="000000"/>
                          </a:solidFill>
                          <a:prstDash val="solid"/>
                          <a:miter lim="800000"/>
                          <a:tailEnd type="arrow" w="med" len="med"/>
                        </a:ln>
                        <a:effectLst/>
                      </wps:spPr>
                      <wps:bodyPr/>
                    </wps:wsp>
                  </a:graphicData>
                </a:graphic>
              </wp:anchor>
            </w:drawing>
          </mc:Choice>
          <mc:Fallback>
            <w:pict>
              <v:shape id="_x0000_s1026" o:spid="_x0000_s1026" o:spt="32" type="#_x0000_t32" style="position:absolute;left:0pt;margin-left:222.6pt;margin-top:91.95pt;height:21.9pt;width:0.6pt;z-index:251672576;mso-width-relative:page;mso-height-relative:page;" filled="f" stroked="t" coordsize="21600,21600" o:gfxdata="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">
                <v:fill on="f" focussize="0,0"/>
                <v:stroke weight="1.5pt" color="#000000" miterlimit="8" joinstyle="miter" endarrow="open"/>
                <v:imagedata o:title=""/>
                <o:lock v:ext="edit" aspectratio="f"/>
              </v:shape>
            </w:pict>
          </mc:Fallback>
        </mc:AlternateContent>
      </w:r>
    </w:p>
    <w:p>
      <w:pPr>
        <w:pStyle w:val="20"/>
        <w:spacing w:after="0" w:line="560" w:lineRule="exact"/>
        <w:ind w:left="0" w:leftChars="0" w:firstLine="880"/>
        <w:rPr>
          <w:rFonts w:ascii="宋体" w:hAnsi="宋体" w:cs="宋体"/>
          <w:b w:val="0"/>
          <w:bCs w:val="0"/>
          <w:sz w:val="24"/>
          <w:szCs w:val="24"/>
        </w:rPr>
      </w:pPr>
      <w:r>
        <w:rPr>
          <w:rFonts w:ascii="宋体" w:hAnsi="宋体" w:eastAsia="方正小标宋简体" w:cs="宋体"/>
          <w:b w:val="0"/>
          <w:bCs w:val="0"/>
          <w:sz w:val="24"/>
          <w:szCs w:val="24"/>
        </w:rPr>
        <mc:AlternateContent>
          <mc:Choice Requires="wps">
            <w:drawing>
              <wp:anchor distT="0" distB="0" distL="114300" distR="114300" simplePos="0" relativeHeight="251675648" behindDoc="0" locked="0" layoutInCell="1" allowOverlap="1">
                <wp:simplePos x="0" y="0"/>
                <wp:positionH relativeFrom="column">
                  <wp:posOffset>2788920</wp:posOffset>
                </wp:positionH>
                <wp:positionV relativeFrom="paragraph">
                  <wp:posOffset>1485265</wp:posOffset>
                </wp:positionV>
                <wp:extent cx="7620" cy="278130"/>
                <wp:effectExtent l="48895" t="0" r="57785" b="7620"/>
                <wp:wrapNone/>
                <wp:docPr id="47" name="直接箭头连接符 47"/>
                <wp:cNvGraphicFramePr/>
                <a:graphic xmlns:a="http://schemas.openxmlformats.org/drawingml/2006/main">
                  <a:graphicData uri="http://schemas.microsoft.com/office/word/2010/wordprocessingShape">
                    <wps:wsp>
                      <wps:cNvCnPr/>
                      <wps:spPr>
                        <a:xfrm>
                          <a:off x="0" y="0"/>
                          <a:ext cx="7620" cy="278130"/>
                        </a:xfrm>
                        <a:prstGeom prst="straightConnector1">
                          <a:avLst/>
                        </a:prstGeom>
                        <a:noFill/>
                        <a:ln w="19050" cap="flat" cmpd="sng" algn="ctr">
                          <a:solidFill>
                            <a:srgbClr val="000000"/>
                          </a:solidFill>
                          <a:prstDash val="solid"/>
                          <a:miter lim="800000"/>
                          <a:tailEnd type="arrow" w="med" len="med"/>
                        </a:ln>
                        <a:effectLst/>
                      </wps:spPr>
                      <wps:bodyPr/>
                    </wps:wsp>
                  </a:graphicData>
                </a:graphic>
              </wp:anchor>
            </w:drawing>
          </mc:Choice>
          <mc:Fallback>
            <w:pict>
              <v:shape id="_x0000_s1026" o:spid="_x0000_s1026" o:spt="32" type="#_x0000_t32" style="position:absolute;left:0pt;margin-left:219.6pt;margin-top:116.95pt;height:21.9pt;width:0.6pt;z-index:251675648;mso-width-relative:page;mso-height-relative:page;" filled="f" stroked="t" coordsize="21600,21600" o:gfxdata="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">
                <v:fill on="f" focussize="0,0"/>
                <v:stroke weight="1.5pt" color="#000000" miterlimit="8" joinstyle="miter" endarrow="open"/>
                <v:imagedata o:title=""/>
                <o:lock v:ext="edit" aspectratio="f"/>
              </v:shape>
            </w:pict>
          </mc:Fallback>
        </mc:AlternateContent>
      </w:r>
      <w:r>
        <w:rPr>
          <w:rFonts w:ascii="宋体" w:hAnsi="宋体" w:eastAsia="方正小标宋简体" w:cs="宋体"/>
          <w:b w:val="0"/>
          <w:bCs w:val="0"/>
          <w:sz w:val="24"/>
          <w:szCs w:val="24"/>
        </w:rPr>
        <mc:AlternateContent>
          <mc:Choice Requires="wps">
            <w:drawing>
              <wp:anchor distT="0" distB="0" distL="114300" distR="114300" simplePos="0" relativeHeight="251674624" behindDoc="0" locked="0" layoutInCell="1" allowOverlap="1">
                <wp:simplePos x="0" y="0"/>
                <wp:positionH relativeFrom="column">
                  <wp:posOffset>1309370</wp:posOffset>
                </wp:positionH>
                <wp:positionV relativeFrom="paragraph">
                  <wp:posOffset>1745615</wp:posOffset>
                </wp:positionV>
                <wp:extent cx="3086735" cy="428625"/>
                <wp:effectExtent l="6350" t="6350" r="12065" b="22225"/>
                <wp:wrapNone/>
                <wp:docPr id="46" name="流程图: 过程 46"/>
                <wp:cNvGraphicFramePr/>
                <a:graphic xmlns:a="http://schemas.openxmlformats.org/drawingml/2006/main">
                  <a:graphicData uri="http://schemas.microsoft.com/office/word/2010/wordprocessingShape">
                    <wps:wsp>
                      <wps:cNvSpPr/>
                      <wps:spPr>
                        <a:xfrm>
                          <a:off x="0" y="0"/>
                          <a:ext cx="3086735" cy="428625"/>
                        </a:xfrm>
                        <a:prstGeom prst="flowChartProcess">
                          <a:avLst/>
                        </a:prstGeom>
                        <a:solidFill>
                          <a:srgbClr val="FFFFFF"/>
                        </a:solidFill>
                        <a:ln w="12700" cap="flat" cmpd="sng" algn="ctr">
                          <a:solidFill>
                            <a:srgbClr val="000000"/>
                          </a:solidFill>
                          <a:prstDash val="solid"/>
                          <a:miter lim="800000"/>
                        </a:ln>
                        <a:effectLst/>
                      </wps:spPr>
                      <wps:txbx>
                        <w:txbxContent>
                          <w:p>
                            <w:pPr>
                              <w:ind w:right="92" w:rightChars="33"/>
                              <w:jc w:val="center"/>
                              <w:rPr>
                                <w:rFonts w:ascii="黑体" w:hAnsi="黑体" w:eastAsia="黑体" w:cs="黑体"/>
                                <w:color w:val="000000"/>
                                <w:kern w:val="0"/>
                                <w:sz w:val="32"/>
                                <w:szCs w:val="32"/>
                              </w:rPr>
                            </w:pPr>
                            <w:r>
                              <w:rPr>
                                <w:rFonts w:hint="eastAsia" w:ascii="黑体" w:hAnsi="黑体" w:eastAsia="黑体" w:cs="黑体"/>
                                <w:color w:val="000000"/>
                                <w:kern w:val="0"/>
                                <w:sz w:val="32"/>
                                <w:szCs w:val="32"/>
                                <w:lang w:val="en-US" w:eastAsia="zh-CN"/>
                              </w:rPr>
                              <w:t>市</w:t>
                            </w:r>
                            <w:r>
                              <w:rPr>
                                <w:rFonts w:hint="eastAsia" w:ascii="黑体" w:hAnsi="黑体" w:eastAsia="黑体" w:cs="黑体"/>
                                <w:color w:val="000000"/>
                                <w:kern w:val="0"/>
                                <w:sz w:val="32"/>
                                <w:szCs w:val="32"/>
                              </w:rPr>
                              <w:t>抽验</w:t>
                            </w:r>
                          </w:p>
                          <w:p/>
                        </w:txbxContent>
                      </wps:txbx>
                      <wps:bodyPr rot="0" spcFirstLastPara="0" vertOverflow="overflow" horzOverflow="overflow" vert="horz" wrap="square" lIns="91440" tIns="45720" rIns="91440" bIns="45720" numCol="1" spcCol="0" rtlCol="0" fromWordArt="false" anchor="ctr" anchorCtr="false" forceAA="false" compatLnSpc="true">
                        <a:noAutofit/>
                      </wps:bodyPr>
                    </wps:wsp>
                  </a:graphicData>
                </a:graphic>
              </wp:anchor>
            </w:drawing>
          </mc:Choice>
          <mc:Fallback>
            <w:pict>
              <v:shape id="_x0000_s1026" o:spid="_x0000_s1026" o:spt="109" type="#_x0000_t109" style="position:absolute;left:0pt;margin-left:103.1pt;margin-top:137.45pt;height:33.75pt;width:243.05pt;z-index:251674624;v-text-anchor:middle;mso-width-relative:page;mso-height-relative:page;" fillcolor="#FFFFFF" filled="t" stroked="t" coordsize="21600,21600" o:gfxdata="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">
                <v:fill on="t" focussize="0,0"/>
                <v:stroke weight="1pt" color="#000000" miterlimit="8" joinstyle="miter"/>
                <v:imagedata o:title=""/>
                <o:lock v:ext="edit" aspectratio="f"/>
                <v:textbox>
                  <w:txbxContent>
                    <w:p>
                      <w:pPr>
                        <w:ind w:right="92" w:rightChars="33"/>
                        <w:jc w:val="center"/>
                        <w:rPr>
                          <w:rFonts w:ascii="黑体" w:hAnsi="黑体" w:eastAsia="黑体" w:cs="黑体"/>
                          <w:color w:val="000000"/>
                          <w:kern w:val="0"/>
                          <w:sz w:val="32"/>
                          <w:szCs w:val="32"/>
                        </w:rPr>
                      </w:pPr>
                      <w:r>
                        <w:rPr>
                          <w:rFonts w:hint="eastAsia" w:ascii="黑体" w:hAnsi="黑体" w:eastAsia="黑体" w:cs="黑体"/>
                          <w:color w:val="000000"/>
                          <w:kern w:val="0"/>
                          <w:sz w:val="32"/>
                          <w:szCs w:val="32"/>
                          <w:lang w:val="en-US" w:eastAsia="zh-CN"/>
                        </w:rPr>
                        <w:t>市</w:t>
                      </w:r>
                      <w:r>
                        <w:rPr>
                          <w:rFonts w:hint="eastAsia" w:ascii="黑体" w:hAnsi="黑体" w:eastAsia="黑体" w:cs="黑体"/>
                          <w:color w:val="000000"/>
                          <w:kern w:val="0"/>
                          <w:sz w:val="32"/>
                          <w:szCs w:val="32"/>
                        </w:rPr>
                        <w:t>抽验</w:t>
                      </w:r>
                    </w:p>
                    <w:p/>
                  </w:txbxContent>
                </v:textbox>
              </v:shape>
            </w:pict>
          </mc:Fallback>
        </mc:AlternateContent>
      </w:r>
    </w:p>
    <w:p>
      <w:pPr>
        <w:pStyle w:val="20"/>
        <w:spacing w:after="0" w:line="560" w:lineRule="exact"/>
        <w:ind w:left="0" w:leftChars="0"/>
        <w:rPr>
          <w:rFonts w:ascii="宋体" w:hAnsi="宋体" w:cs="宋体"/>
          <w:b w:val="0"/>
          <w:bCs w:val="0"/>
          <w:sz w:val="24"/>
          <w:szCs w:val="24"/>
        </w:rPr>
      </w:pPr>
    </w:p>
    <w:p>
      <w:pPr>
        <w:pStyle w:val="20"/>
        <w:spacing w:after="0" w:line="560" w:lineRule="exact"/>
        <w:ind w:left="0" w:leftChars="0" w:firstLine="880"/>
        <w:rPr>
          <w:rFonts w:ascii="宋体" w:hAnsi="宋体" w:cs="宋体"/>
          <w:b w:val="0"/>
          <w:bCs w:val="0"/>
          <w:sz w:val="24"/>
          <w:szCs w:val="24"/>
        </w:rPr>
      </w:pPr>
    </w:p>
    <w:p>
      <w:pPr>
        <w:pStyle w:val="20"/>
        <w:spacing w:after="0" w:line="560" w:lineRule="exact"/>
        <w:ind w:left="0" w:leftChars="0"/>
        <w:rPr>
          <w:rFonts w:ascii="宋体" w:hAnsi="宋体" w:cs="宋体"/>
          <w:b w:val="0"/>
          <w:bCs w:val="0"/>
          <w:sz w:val="24"/>
          <w:szCs w:val="24"/>
        </w:rPr>
      </w:pPr>
    </w:p>
    <w:p>
      <w:pPr>
        <w:spacing w:line="560" w:lineRule="exact"/>
        <w:jc w:val="left"/>
        <w:rPr>
          <w:rFonts w:hint="eastAsia" w:ascii="宋体" w:hAnsi="宋体" w:eastAsia="仿宋_GB2312" w:cs="宋体"/>
          <w:b w:val="0"/>
          <w:bCs w:val="0"/>
          <w:sz w:val="24"/>
          <w:szCs w:val="24"/>
        </w:rPr>
      </w:pPr>
    </w:p>
    <w:p>
      <w:pPr>
        <w:spacing w:line="560" w:lineRule="exact"/>
        <w:jc w:val="left"/>
        <w:rPr>
          <w:rFonts w:hint="eastAsia" w:ascii="宋体" w:hAnsi="宋体" w:eastAsia="仿宋_GB2312" w:cs="宋体"/>
          <w:b w:val="0"/>
          <w:bCs w:val="0"/>
          <w:sz w:val="24"/>
          <w:szCs w:val="24"/>
        </w:rPr>
      </w:pPr>
    </w:p>
    <w:p>
      <w:pPr>
        <w:spacing w:line="560" w:lineRule="exact"/>
        <w:jc w:val="left"/>
        <w:rPr>
          <w:rFonts w:hint="eastAsia" w:ascii="宋体" w:hAnsi="宋体" w:eastAsia="仿宋_GB2312" w:cs="宋体"/>
          <w:b w:val="0"/>
          <w:bCs w:val="0"/>
          <w:sz w:val="24"/>
          <w:szCs w:val="24"/>
        </w:rPr>
      </w:pPr>
      <w:r>
        <w:rPr>
          <w:rFonts w:ascii="宋体" w:hAnsi="宋体" w:eastAsia="方正小标宋简体" w:cs="宋体"/>
          <w:b w:val="0"/>
          <w:bCs w:val="0"/>
          <w:sz w:val="24"/>
          <w:szCs w:val="24"/>
        </w:rPr>
        <mc:AlternateContent>
          <mc:Choice Requires="wps">
            <w:drawing>
              <wp:anchor distT="0" distB="0" distL="114300" distR="114300" simplePos="0" relativeHeight="251676672" behindDoc="0" locked="0" layoutInCell="1" allowOverlap="1">
                <wp:simplePos x="0" y="0"/>
                <wp:positionH relativeFrom="column">
                  <wp:posOffset>2857500</wp:posOffset>
                </wp:positionH>
                <wp:positionV relativeFrom="paragraph">
                  <wp:posOffset>24765</wp:posOffset>
                </wp:positionV>
                <wp:extent cx="7620" cy="278130"/>
                <wp:effectExtent l="48895" t="0" r="57785" b="7620"/>
                <wp:wrapNone/>
                <wp:docPr id="48" name="直接箭头连接符 48"/>
                <wp:cNvGraphicFramePr/>
                <a:graphic xmlns:a="http://schemas.openxmlformats.org/drawingml/2006/main">
                  <a:graphicData uri="http://schemas.microsoft.com/office/word/2010/wordprocessingShape">
                    <wps:wsp>
                      <wps:cNvCnPr/>
                      <wps:spPr>
                        <a:xfrm>
                          <a:off x="0" y="0"/>
                          <a:ext cx="7620" cy="278130"/>
                        </a:xfrm>
                        <a:prstGeom prst="straightConnector1">
                          <a:avLst/>
                        </a:prstGeom>
                        <a:noFill/>
                        <a:ln w="19050" cap="flat" cmpd="sng" algn="ctr">
                          <a:solidFill>
                            <a:srgbClr val="000000"/>
                          </a:solidFill>
                          <a:prstDash val="solid"/>
                          <a:miter lim="800000"/>
                          <a:tailEnd type="arrow" w="med" len="med"/>
                        </a:ln>
                        <a:effectLst/>
                      </wps:spPr>
                      <wps:bodyPr/>
                    </wps:wsp>
                  </a:graphicData>
                </a:graphic>
              </wp:anchor>
            </w:drawing>
          </mc:Choice>
          <mc:Fallback>
            <w:pict>
              <v:shape id="_x0000_s1026" o:spid="_x0000_s1026" o:spt="32" type="#_x0000_t32" style="position:absolute;left:0pt;margin-left:225pt;margin-top:1.95pt;height:21.9pt;width:0.6pt;z-index:251676672;mso-width-relative:page;mso-height-relative:page;" filled="f" stroked="t" coordsize="21600,21600" o:gfxdata="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">
                <v:fill on="f" focussize="0,0"/>
                <v:stroke weight="1.5pt" color="#000000" miterlimit="8" joinstyle="miter" endarrow="open"/>
                <v:imagedata o:title=""/>
                <o:lock v:ext="edit" aspectratio="f"/>
              </v:shape>
            </w:pict>
          </mc:Fallback>
        </mc:AlternateContent>
      </w:r>
      <w:r>
        <w:rPr>
          <w:rFonts w:ascii="宋体" w:hAnsi="宋体" w:eastAsia="方正小标宋简体" w:cs="宋体"/>
          <w:b w:val="0"/>
          <w:bCs w:val="0"/>
          <w:sz w:val="24"/>
          <w:szCs w:val="24"/>
        </w:rPr>
        <mc:AlternateContent>
          <mc:Choice Requires="wps">
            <w:drawing>
              <wp:anchor distT="0" distB="0" distL="114300" distR="114300" simplePos="0" relativeHeight="251677696" behindDoc="0" locked="0" layoutInCell="1" allowOverlap="1">
                <wp:simplePos x="0" y="0"/>
                <wp:positionH relativeFrom="column">
                  <wp:posOffset>1309370</wp:posOffset>
                </wp:positionH>
                <wp:positionV relativeFrom="paragraph">
                  <wp:posOffset>273685</wp:posOffset>
                </wp:positionV>
                <wp:extent cx="3086735" cy="428625"/>
                <wp:effectExtent l="6350" t="6350" r="12065" b="22225"/>
                <wp:wrapNone/>
                <wp:docPr id="49" name="流程图: 过程 49"/>
                <wp:cNvGraphicFramePr/>
                <a:graphic xmlns:a="http://schemas.openxmlformats.org/drawingml/2006/main">
                  <a:graphicData uri="http://schemas.microsoft.com/office/word/2010/wordprocessingShape">
                    <wps:wsp>
                      <wps:cNvSpPr/>
                      <wps:spPr>
                        <a:xfrm>
                          <a:off x="0" y="0"/>
                          <a:ext cx="3086735" cy="428625"/>
                        </a:xfrm>
                        <a:prstGeom prst="flowChartProcess">
                          <a:avLst/>
                        </a:prstGeom>
                        <a:solidFill>
                          <a:srgbClr val="FFFFFF"/>
                        </a:solidFill>
                        <a:ln w="12700" cap="flat" cmpd="sng" algn="ctr">
                          <a:solidFill>
                            <a:srgbClr val="000000"/>
                          </a:solidFill>
                          <a:prstDash val="solid"/>
                          <a:miter lim="800000"/>
                        </a:ln>
                        <a:effectLst/>
                      </wps:spPr>
                      <wps:txbx>
                        <w:txbxContent>
                          <w:p>
                            <w:pPr>
                              <w:jc w:val="center"/>
                              <w:rPr>
                                <w:rFonts w:ascii="黑体" w:hAnsi="黑体" w:eastAsia="黑体" w:cs="黑体"/>
                                <w:color w:val="000000"/>
                                <w:kern w:val="0"/>
                                <w:sz w:val="32"/>
                                <w:szCs w:val="32"/>
                              </w:rPr>
                            </w:pPr>
                            <w:r>
                              <w:rPr>
                                <w:rFonts w:hint="eastAsia" w:ascii="黑体" w:hAnsi="黑体" w:eastAsia="黑体" w:cs="黑体"/>
                                <w:color w:val="000000"/>
                                <w:kern w:val="0"/>
                                <w:sz w:val="32"/>
                                <w:szCs w:val="32"/>
                              </w:rPr>
                              <w:t>资金补助</w:t>
                            </w:r>
                          </w:p>
                        </w:txbxContent>
                      </wps:txbx>
                      <wps:bodyPr rot="0" spcFirstLastPara="0" vertOverflow="overflow" horzOverflow="overflow" vert="horz" wrap="square" lIns="91440" tIns="45720" rIns="91440" bIns="45720" numCol="1" spcCol="0" rtlCol="0" fromWordArt="false" anchor="ctr" anchorCtr="false" forceAA="false" compatLnSpc="true">
                        <a:noAutofit/>
                      </wps:bodyPr>
                    </wps:wsp>
                  </a:graphicData>
                </a:graphic>
              </wp:anchor>
            </w:drawing>
          </mc:Choice>
          <mc:Fallback>
            <w:pict>
              <v:shape id="_x0000_s1026" o:spid="_x0000_s1026" o:spt="109" type="#_x0000_t109" style="position:absolute;left:0pt;margin-left:103.1pt;margin-top:21.55pt;height:33.75pt;width:243.05pt;z-index:251677696;v-text-anchor:middle;mso-width-relative:page;mso-height-relative:page;" fillcolor="#FFFFFF" filled="t" stroked="t" coordsize="21600,21600" o:gfxdata="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">
                <v:fill on="t" focussize="0,0"/>
                <v:stroke weight="1pt" color="#000000" miterlimit="8" joinstyle="miter"/>
                <v:imagedata o:title=""/>
                <o:lock v:ext="edit" aspectratio="f"/>
                <v:textbox>
                  <w:txbxContent>
                    <w:p>
                      <w:pPr>
                        <w:jc w:val="center"/>
                        <w:rPr>
                          <w:rFonts w:ascii="黑体" w:hAnsi="黑体" w:eastAsia="黑体" w:cs="黑体"/>
                          <w:color w:val="000000"/>
                          <w:kern w:val="0"/>
                          <w:sz w:val="32"/>
                          <w:szCs w:val="32"/>
                        </w:rPr>
                      </w:pPr>
                      <w:r>
                        <w:rPr>
                          <w:rFonts w:hint="eastAsia" w:ascii="黑体" w:hAnsi="黑体" w:eastAsia="黑体" w:cs="黑体"/>
                          <w:color w:val="000000"/>
                          <w:kern w:val="0"/>
                          <w:sz w:val="32"/>
                          <w:szCs w:val="32"/>
                        </w:rPr>
                        <w:t>资金补助</w:t>
                      </w:r>
                    </w:p>
                  </w:txbxContent>
                </v:textbox>
              </v:shape>
            </w:pict>
          </mc:Fallback>
        </mc:AlternateContent>
      </w:r>
    </w:p>
    <w:p>
      <w:pPr>
        <w:spacing w:line="560" w:lineRule="exact"/>
        <w:jc w:val="left"/>
        <w:rPr>
          <w:rFonts w:ascii="宋体" w:hAnsi="宋体" w:eastAsia="仿宋_GB2312" w:cs="宋体"/>
          <w:b w:val="0"/>
          <w:bCs w:val="0"/>
          <w:sz w:val="24"/>
          <w:szCs w:val="24"/>
        </w:rPr>
      </w:pPr>
      <w:r>
        <w:rPr>
          <w:rFonts w:hint="eastAsia" w:ascii="宋体" w:hAnsi="宋体" w:eastAsia="仿宋_GB2312" w:cs="宋体"/>
          <w:b w:val="0"/>
          <w:bCs w:val="0"/>
          <w:sz w:val="24"/>
          <w:szCs w:val="24"/>
        </w:rPr>
        <w:t>附件5</w:t>
      </w:r>
    </w:p>
    <w:p>
      <w:pPr>
        <w:spacing w:line="560" w:lineRule="exact"/>
        <w:jc w:val="center"/>
        <w:rPr>
          <w:rFonts w:ascii="宋体" w:hAnsi="宋体" w:eastAsia="方正小标宋简体" w:cs="宋体"/>
          <w:b w:val="0"/>
          <w:bCs w:val="0"/>
          <w:sz w:val="24"/>
          <w:szCs w:val="24"/>
        </w:rPr>
      </w:pPr>
      <w:r>
        <w:rPr>
          <w:rFonts w:hint="eastAsia" w:ascii="宋体" w:hAnsi="宋体" w:eastAsia="方正小标宋简体" w:cs="宋体"/>
          <w:b w:val="0"/>
          <w:bCs w:val="0"/>
          <w:sz w:val="24"/>
          <w:szCs w:val="24"/>
        </w:rPr>
        <w:t>射洪</w:t>
      </w:r>
      <w:r>
        <w:rPr>
          <w:rFonts w:hint="eastAsia" w:ascii="宋体" w:hAnsi="宋体" w:eastAsia="方正小标宋简体" w:cs="宋体"/>
          <w:b w:val="0"/>
          <w:bCs w:val="0"/>
          <w:sz w:val="24"/>
          <w:szCs w:val="24"/>
          <w:lang w:val="en-US" w:eastAsia="zh-CN"/>
        </w:rPr>
        <w:t>市</w:t>
      </w:r>
      <w:r>
        <w:rPr>
          <w:rFonts w:hint="eastAsia" w:ascii="宋体" w:hAnsi="宋体" w:eastAsia="方正小标宋简体" w:cs="宋体"/>
          <w:b w:val="0"/>
          <w:bCs w:val="0"/>
          <w:sz w:val="24"/>
          <w:szCs w:val="24"/>
        </w:rPr>
        <w:t>农村户用卫生厕所改造示申请书</w:t>
      </w:r>
    </w:p>
    <w:p>
      <w:pPr>
        <w:spacing w:line="560" w:lineRule="exact"/>
        <w:rPr>
          <w:rFonts w:ascii="宋体" w:hAnsi="宋体" w:eastAsia="仿宋_GB2312" w:cs="宋体"/>
          <w:b w:val="0"/>
          <w:bCs w:val="0"/>
          <w:sz w:val="24"/>
          <w:szCs w:val="24"/>
        </w:rPr>
      </w:pPr>
    </w:p>
    <w:p>
      <w:pPr>
        <w:spacing w:line="560" w:lineRule="exact"/>
        <w:rPr>
          <w:rFonts w:ascii="宋体" w:hAnsi="宋体" w:eastAsia="仿宋_GB2312" w:cs="宋体"/>
          <w:b w:val="0"/>
          <w:bCs w:val="0"/>
          <w:sz w:val="24"/>
          <w:szCs w:val="24"/>
          <w:u w:val="single"/>
        </w:rPr>
      </w:pPr>
      <w:r>
        <w:rPr>
          <w:rFonts w:hint="eastAsia" w:ascii="宋体" w:hAnsi="宋体" w:eastAsia="仿宋_GB2312" w:cs="宋体"/>
          <w:b w:val="0"/>
          <w:bCs w:val="0"/>
          <w:sz w:val="24"/>
          <w:szCs w:val="24"/>
        </w:rPr>
        <w:t>申请人：</w:t>
      </w:r>
      <w:r>
        <w:rPr>
          <w:rFonts w:hint="eastAsia" w:ascii="宋体" w:hAnsi="宋体" w:eastAsia="仿宋_GB2312" w:cs="宋体"/>
          <w:b w:val="0"/>
          <w:bCs w:val="0"/>
          <w:sz w:val="24"/>
          <w:szCs w:val="24"/>
          <w:u w:val="single"/>
        </w:rPr>
        <w:t xml:space="preserve">       </w:t>
      </w:r>
      <w:r>
        <w:rPr>
          <w:rFonts w:hint="eastAsia" w:ascii="宋体" w:hAnsi="宋体" w:eastAsia="仿宋_GB2312" w:cs="宋体"/>
          <w:b w:val="0"/>
          <w:bCs w:val="0"/>
          <w:sz w:val="24"/>
          <w:szCs w:val="24"/>
        </w:rPr>
        <w:t>身份证号码</w:t>
      </w:r>
      <w:r>
        <w:rPr>
          <w:rFonts w:hint="eastAsia" w:ascii="宋体" w:hAnsi="宋体" w:eastAsia="仿宋_GB2312" w:cs="宋体"/>
          <w:b w:val="0"/>
          <w:bCs w:val="0"/>
          <w:sz w:val="24"/>
          <w:szCs w:val="24"/>
          <w:u w:val="single"/>
        </w:rPr>
        <w:t xml:space="preserve">                   </w:t>
      </w:r>
      <w:r>
        <w:rPr>
          <w:rFonts w:hint="eastAsia" w:ascii="宋体" w:hAnsi="宋体" w:eastAsia="仿宋_GB2312" w:cs="宋体"/>
          <w:b w:val="0"/>
          <w:bCs w:val="0"/>
          <w:sz w:val="24"/>
          <w:szCs w:val="24"/>
        </w:rPr>
        <w:t>联系电话</w:t>
      </w:r>
      <w:r>
        <w:rPr>
          <w:rFonts w:hint="eastAsia" w:ascii="宋体" w:hAnsi="宋体" w:eastAsia="仿宋_GB2312" w:cs="宋体"/>
          <w:b w:val="0"/>
          <w:bCs w:val="0"/>
          <w:sz w:val="24"/>
          <w:szCs w:val="24"/>
          <w:u w:val="single"/>
        </w:rPr>
        <w:t xml:space="preserve">           </w:t>
      </w:r>
    </w:p>
    <w:p>
      <w:pPr>
        <w:spacing w:line="560" w:lineRule="exact"/>
        <w:rPr>
          <w:rFonts w:ascii="宋体" w:hAnsi="宋体" w:eastAsia="仿宋_GB2312" w:cs="宋体"/>
          <w:b w:val="0"/>
          <w:bCs w:val="0"/>
          <w:sz w:val="24"/>
          <w:szCs w:val="24"/>
        </w:rPr>
      </w:pPr>
      <w:r>
        <w:rPr>
          <w:rFonts w:hint="eastAsia" w:ascii="宋体" w:hAnsi="宋体" w:eastAsia="仿宋_GB2312" w:cs="宋体"/>
          <w:b w:val="0"/>
          <w:bCs w:val="0"/>
          <w:sz w:val="24"/>
          <w:szCs w:val="24"/>
        </w:rPr>
        <w:t>申请人地址：</w:t>
      </w:r>
      <w:r>
        <w:rPr>
          <w:rFonts w:hint="eastAsia" w:ascii="宋体" w:hAnsi="宋体" w:eastAsia="仿宋_GB2312" w:cs="宋体"/>
          <w:b w:val="0"/>
          <w:bCs w:val="0"/>
          <w:sz w:val="24"/>
          <w:szCs w:val="24"/>
          <w:u w:val="single"/>
        </w:rPr>
        <w:t xml:space="preserve">        </w:t>
      </w:r>
      <w:r>
        <w:rPr>
          <w:rFonts w:hint="eastAsia" w:ascii="宋体" w:hAnsi="宋体" w:eastAsia="仿宋_GB2312" w:cs="宋体"/>
          <w:b w:val="0"/>
          <w:bCs w:val="0"/>
          <w:sz w:val="24"/>
          <w:szCs w:val="24"/>
        </w:rPr>
        <w:t>镇</w:t>
      </w:r>
      <w:r>
        <w:rPr>
          <w:rFonts w:hint="eastAsia" w:ascii="宋体" w:hAnsi="宋体" w:eastAsia="仿宋_GB2312" w:cs="宋体"/>
          <w:b w:val="0"/>
          <w:bCs w:val="0"/>
          <w:sz w:val="24"/>
          <w:szCs w:val="24"/>
          <w:u w:val="single"/>
        </w:rPr>
        <w:t xml:space="preserve">          </w:t>
      </w:r>
      <w:r>
        <w:rPr>
          <w:rFonts w:hint="eastAsia" w:ascii="宋体" w:hAnsi="宋体" w:eastAsia="仿宋_GB2312" w:cs="宋体"/>
          <w:b w:val="0"/>
          <w:bCs w:val="0"/>
          <w:sz w:val="24"/>
          <w:szCs w:val="24"/>
        </w:rPr>
        <w:t>村（社区）</w:t>
      </w:r>
      <w:r>
        <w:rPr>
          <w:rFonts w:hint="eastAsia" w:ascii="宋体" w:hAnsi="宋体" w:eastAsia="仿宋_GB2312" w:cs="宋体"/>
          <w:b w:val="0"/>
          <w:bCs w:val="0"/>
          <w:sz w:val="24"/>
          <w:szCs w:val="24"/>
          <w:u w:val="single"/>
        </w:rPr>
        <w:t xml:space="preserve">    </w:t>
      </w:r>
      <w:r>
        <w:rPr>
          <w:rFonts w:hint="eastAsia" w:ascii="宋体" w:hAnsi="宋体" w:eastAsia="仿宋_GB2312" w:cs="宋体"/>
          <w:b w:val="0"/>
          <w:bCs w:val="0"/>
          <w:sz w:val="24"/>
          <w:szCs w:val="24"/>
        </w:rPr>
        <w:t>社</w:t>
      </w:r>
    </w:p>
    <w:p>
      <w:pPr>
        <w:spacing w:line="560" w:lineRule="exact"/>
        <w:ind w:firstLine="480" w:firstLineChars="200"/>
        <w:rPr>
          <w:rFonts w:ascii="宋体" w:hAnsi="宋体" w:eastAsia="仿宋_GB2312" w:cs="宋体"/>
          <w:b w:val="0"/>
          <w:bCs w:val="0"/>
          <w:sz w:val="24"/>
          <w:szCs w:val="24"/>
        </w:rPr>
      </w:pPr>
      <w:r>
        <w:rPr>
          <w:rFonts w:hint="eastAsia" w:ascii="宋体" w:hAnsi="宋体" w:eastAsia="仿宋_GB2312" w:cs="宋体"/>
          <w:b w:val="0"/>
          <w:bCs w:val="0"/>
          <w:sz w:val="24"/>
          <w:szCs w:val="24"/>
        </w:rPr>
        <w:t>本人自愿申请对户用厕所（1处）进行改造（具体项目附后），并承诺自筹资金，改造后粪污处理池外溢物，承诺采取“农用还田/进入生态湿地/进入排污管道/排入水渠河沟/其他”方式处理（在具体处理方式上按申请人指印）。</w:t>
      </w:r>
    </w:p>
    <w:p>
      <w:pPr>
        <w:spacing w:line="560" w:lineRule="exact"/>
        <w:rPr>
          <w:rFonts w:ascii="宋体" w:hAnsi="宋体" w:eastAsia="仿宋_GB2312" w:cs="宋体"/>
          <w:b w:val="0"/>
          <w:bCs w:val="0"/>
          <w:sz w:val="24"/>
          <w:szCs w:val="24"/>
        </w:rPr>
      </w:pPr>
      <w:r>
        <w:rPr>
          <w:rFonts w:hint="eastAsia" w:ascii="宋体" w:hAnsi="宋体" w:eastAsia="仿宋_GB2312" w:cs="宋体"/>
          <w:b w:val="0"/>
          <w:bCs w:val="0"/>
          <w:sz w:val="24"/>
          <w:szCs w:val="24"/>
        </w:rPr>
        <w:t>附：射洪县农村户用厕所改造工程量清单</w:t>
      </w:r>
    </w:p>
    <w:tbl>
      <w:tblPr>
        <w:tblStyle w:val="22"/>
        <w:tblW w:w="910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50"/>
        <w:gridCol w:w="45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08" w:hRule="atLeast"/>
        </w:trPr>
        <w:tc>
          <w:tcPr>
            <w:tcW w:w="4550" w:type="dxa"/>
            <w:noWrap w:val="0"/>
            <w:vAlign w:val="top"/>
          </w:tcPr>
          <w:p>
            <w:pPr>
              <w:spacing w:line="560" w:lineRule="exact"/>
              <w:rPr>
                <w:rFonts w:ascii="宋体" w:hAnsi="宋体" w:eastAsia="仿宋_GB2312" w:cs="宋体"/>
                <w:b w:val="0"/>
                <w:bCs w:val="0"/>
                <w:sz w:val="24"/>
                <w:szCs w:val="24"/>
              </w:rPr>
            </w:pPr>
            <w:r>
              <w:rPr>
                <w:rFonts w:hint="eastAsia" w:ascii="宋体" w:hAnsi="宋体" w:eastAsia="仿宋_GB2312" w:cs="宋体"/>
                <w:b w:val="0"/>
                <w:bCs w:val="0"/>
                <w:sz w:val="24"/>
                <w:szCs w:val="24"/>
              </w:rPr>
              <w:t>申请人（签字盖章）：</w:t>
            </w:r>
          </w:p>
          <w:p>
            <w:pPr>
              <w:spacing w:line="560" w:lineRule="exact"/>
              <w:rPr>
                <w:rFonts w:ascii="宋体" w:hAnsi="宋体" w:eastAsia="仿宋_GB2312" w:cs="宋体"/>
                <w:b w:val="0"/>
                <w:bCs w:val="0"/>
                <w:sz w:val="24"/>
                <w:szCs w:val="24"/>
              </w:rPr>
            </w:pPr>
          </w:p>
          <w:p>
            <w:pPr>
              <w:spacing w:line="560" w:lineRule="exact"/>
              <w:rPr>
                <w:rFonts w:ascii="宋体" w:hAnsi="宋体" w:eastAsia="仿宋_GB2312" w:cs="宋体"/>
                <w:b w:val="0"/>
                <w:bCs w:val="0"/>
                <w:sz w:val="24"/>
                <w:szCs w:val="24"/>
              </w:rPr>
            </w:pPr>
          </w:p>
          <w:p>
            <w:pPr>
              <w:spacing w:line="560" w:lineRule="exact"/>
              <w:rPr>
                <w:rFonts w:ascii="宋体" w:hAnsi="宋体" w:eastAsia="仿宋_GB2312" w:cs="宋体"/>
                <w:b w:val="0"/>
                <w:bCs w:val="0"/>
                <w:sz w:val="24"/>
                <w:szCs w:val="24"/>
              </w:rPr>
            </w:pPr>
          </w:p>
          <w:p>
            <w:pPr>
              <w:spacing w:line="560" w:lineRule="exact"/>
              <w:rPr>
                <w:rFonts w:ascii="宋体" w:hAnsi="宋体" w:eastAsia="仿宋_GB2312" w:cs="宋体"/>
                <w:b w:val="0"/>
                <w:bCs w:val="0"/>
                <w:sz w:val="24"/>
                <w:szCs w:val="24"/>
              </w:rPr>
            </w:pPr>
            <w:r>
              <w:rPr>
                <w:rFonts w:hint="eastAsia" w:ascii="宋体" w:hAnsi="宋体" w:eastAsia="仿宋_GB2312" w:cs="宋体"/>
                <w:b w:val="0"/>
                <w:bCs w:val="0"/>
                <w:sz w:val="24"/>
                <w:szCs w:val="24"/>
              </w:rPr>
              <w:t>时间：</w:t>
            </w:r>
            <w:r>
              <w:rPr>
                <w:rFonts w:hint="eastAsia" w:ascii="宋体" w:hAnsi="宋体" w:eastAsia="仿宋_GB2312" w:cs="宋体"/>
                <w:b w:val="0"/>
                <w:bCs w:val="0"/>
                <w:sz w:val="24"/>
                <w:szCs w:val="24"/>
                <w:u w:val="single"/>
              </w:rPr>
              <w:t>2019年    月    日</w:t>
            </w:r>
          </w:p>
        </w:tc>
        <w:tc>
          <w:tcPr>
            <w:tcW w:w="4550" w:type="dxa"/>
            <w:noWrap w:val="0"/>
            <w:vAlign w:val="top"/>
          </w:tcPr>
          <w:p>
            <w:pPr>
              <w:spacing w:line="560" w:lineRule="exact"/>
              <w:rPr>
                <w:rFonts w:ascii="宋体" w:hAnsi="宋体" w:eastAsia="仿宋_GB2312" w:cs="宋体"/>
                <w:b w:val="0"/>
                <w:bCs w:val="0"/>
                <w:sz w:val="24"/>
                <w:szCs w:val="24"/>
              </w:rPr>
            </w:pPr>
            <w:r>
              <w:rPr>
                <w:rFonts w:hint="eastAsia" w:ascii="宋体" w:hAnsi="宋体" w:eastAsia="仿宋_GB2312" w:cs="宋体"/>
                <w:b w:val="0"/>
                <w:bCs w:val="0"/>
                <w:sz w:val="24"/>
                <w:szCs w:val="24"/>
              </w:rPr>
              <w:t>村民议事会（理事会）代表签字：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12" w:hRule="atLeast"/>
        </w:trPr>
        <w:tc>
          <w:tcPr>
            <w:tcW w:w="4550" w:type="dxa"/>
            <w:noWrap w:val="0"/>
            <w:vAlign w:val="top"/>
          </w:tcPr>
          <w:p>
            <w:pPr>
              <w:spacing w:line="560" w:lineRule="exact"/>
              <w:rPr>
                <w:rFonts w:ascii="宋体" w:hAnsi="宋体" w:eastAsia="仿宋_GB2312" w:cs="宋体"/>
                <w:b w:val="0"/>
                <w:bCs w:val="0"/>
                <w:sz w:val="24"/>
                <w:szCs w:val="24"/>
              </w:rPr>
            </w:pPr>
            <w:r>
              <w:rPr>
                <w:rFonts w:hint="eastAsia" w:ascii="宋体" w:hAnsi="宋体" w:eastAsia="仿宋_GB2312" w:cs="宋体"/>
                <w:b w:val="0"/>
                <w:bCs w:val="0"/>
                <w:sz w:val="24"/>
                <w:szCs w:val="24"/>
              </w:rPr>
              <w:t>村民委员会审核意见：</w:t>
            </w:r>
          </w:p>
          <w:p>
            <w:pPr>
              <w:spacing w:line="560" w:lineRule="exact"/>
              <w:rPr>
                <w:rFonts w:ascii="宋体" w:hAnsi="宋体" w:eastAsia="仿宋_GB2312" w:cs="宋体"/>
                <w:b w:val="0"/>
                <w:bCs w:val="0"/>
                <w:sz w:val="24"/>
                <w:szCs w:val="24"/>
              </w:rPr>
            </w:pPr>
          </w:p>
          <w:p>
            <w:pPr>
              <w:spacing w:line="560" w:lineRule="exact"/>
              <w:rPr>
                <w:rFonts w:ascii="宋体" w:hAnsi="宋体" w:eastAsia="仿宋_GB2312" w:cs="宋体"/>
                <w:b w:val="0"/>
                <w:bCs w:val="0"/>
                <w:sz w:val="24"/>
                <w:szCs w:val="24"/>
              </w:rPr>
            </w:pPr>
          </w:p>
          <w:p>
            <w:pPr>
              <w:spacing w:line="560" w:lineRule="exact"/>
              <w:rPr>
                <w:rFonts w:ascii="宋体" w:hAnsi="宋体" w:eastAsia="仿宋_GB2312" w:cs="宋体"/>
                <w:b w:val="0"/>
                <w:bCs w:val="0"/>
                <w:sz w:val="24"/>
                <w:szCs w:val="24"/>
              </w:rPr>
            </w:pPr>
            <w:r>
              <w:rPr>
                <w:rFonts w:hint="eastAsia" w:ascii="宋体" w:hAnsi="宋体" w:eastAsia="仿宋_GB2312" w:cs="宋体"/>
                <w:b w:val="0"/>
                <w:bCs w:val="0"/>
                <w:sz w:val="24"/>
                <w:szCs w:val="24"/>
              </w:rPr>
              <w:t>审核人（签字盖章）：</w:t>
            </w:r>
          </w:p>
          <w:p>
            <w:pPr>
              <w:spacing w:line="560" w:lineRule="exact"/>
              <w:ind w:firstLine="960" w:firstLineChars="400"/>
              <w:rPr>
                <w:rFonts w:ascii="宋体" w:hAnsi="宋体" w:eastAsia="仿宋_GB2312" w:cs="宋体"/>
                <w:b w:val="0"/>
                <w:bCs w:val="0"/>
                <w:sz w:val="24"/>
                <w:szCs w:val="24"/>
              </w:rPr>
            </w:pPr>
            <w:r>
              <w:rPr>
                <w:rFonts w:hint="eastAsia" w:ascii="宋体" w:hAnsi="宋体" w:eastAsia="仿宋_GB2312" w:cs="宋体"/>
                <w:b w:val="0"/>
                <w:bCs w:val="0"/>
                <w:sz w:val="24"/>
                <w:szCs w:val="24"/>
              </w:rPr>
              <w:t xml:space="preserve">（公章）          </w:t>
            </w:r>
          </w:p>
          <w:p>
            <w:pPr>
              <w:spacing w:line="560" w:lineRule="exact"/>
              <w:ind w:firstLine="480" w:firstLineChars="200"/>
              <w:rPr>
                <w:rFonts w:ascii="宋体" w:hAnsi="宋体" w:eastAsia="仿宋_GB2312" w:cs="宋体"/>
                <w:b w:val="0"/>
                <w:bCs w:val="0"/>
                <w:sz w:val="24"/>
                <w:szCs w:val="24"/>
              </w:rPr>
            </w:pPr>
            <w:r>
              <w:rPr>
                <w:rFonts w:hint="eastAsia" w:ascii="宋体" w:hAnsi="宋体" w:eastAsia="仿宋_GB2312" w:cs="宋体"/>
                <w:b w:val="0"/>
                <w:bCs w:val="0"/>
                <w:sz w:val="24"/>
                <w:szCs w:val="24"/>
              </w:rPr>
              <w:t>时间：</w:t>
            </w:r>
            <w:r>
              <w:rPr>
                <w:rFonts w:hint="eastAsia" w:ascii="宋体" w:hAnsi="宋体" w:eastAsia="仿宋_GB2312" w:cs="宋体"/>
                <w:b w:val="0"/>
                <w:bCs w:val="0"/>
                <w:sz w:val="24"/>
                <w:szCs w:val="24"/>
                <w:u w:val="single"/>
              </w:rPr>
              <w:t>2019年    月    日</w:t>
            </w:r>
          </w:p>
        </w:tc>
        <w:tc>
          <w:tcPr>
            <w:tcW w:w="4550" w:type="dxa"/>
            <w:noWrap w:val="0"/>
            <w:vAlign w:val="top"/>
          </w:tcPr>
          <w:p>
            <w:pPr>
              <w:spacing w:line="560" w:lineRule="exact"/>
              <w:rPr>
                <w:rFonts w:ascii="宋体" w:hAnsi="宋体" w:eastAsia="仿宋_GB2312" w:cs="宋体"/>
                <w:b w:val="0"/>
                <w:bCs w:val="0"/>
                <w:sz w:val="24"/>
                <w:szCs w:val="24"/>
              </w:rPr>
            </w:pPr>
            <w:r>
              <w:rPr>
                <w:rFonts w:hint="eastAsia" w:ascii="宋体" w:hAnsi="宋体" w:eastAsia="仿宋_GB2312" w:cs="宋体"/>
                <w:b w:val="0"/>
                <w:bCs w:val="0"/>
                <w:sz w:val="24"/>
                <w:szCs w:val="24"/>
              </w:rPr>
              <w:t>镇人民政府审核意见：</w:t>
            </w:r>
          </w:p>
          <w:p>
            <w:pPr>
              <w:spacing w:line="560" w:lineRule="exact"/>
              <w:rPr>
                <w:rFonts w:ascii="宋体" w:hAnsi="宋体" w:eastAsia="仿宋_GB2312" w:cs="宋体"/>
                <w:b w:val="0"/>
                <w:bCs w:val="0"/>
                <w:sz w:val="24"/>
                <w:szCs w:val="24"/>
              </w:rPr>
            </w:pPr>
          </w:p>
          <w:p>
            <w:pPr>
              <w:spacing w:line="560" w:lineRule="exact"/>
              <w:rPr>
                <w:rFonts w:ascii="宋体" w:hAnsi="宋体" w:eastAsia="仿宋_GB2312" w:cs="宋体"/>
                <w:b w:val="0"/>
                <w:bCs w:val="0"/>
                <w:sz w:val="24"/>
                <w:szCs w:val="24"/>
              </w:rPr>
            </w:pPr>
          </w:p>
          <w:p>
            <w:pPr>
              <w:spacing w:line="560" w:lineRule="exact"/>
              <w:rPr>
                <w:rFonts w:ascii="宋体" w:hAnsi="宋体" w:eastAsia="仿宋_GB2312" w:cs="宋体"/>
                <w:b w:val="0"/>
                <w:bCs w:val="0"/>
                <w:sz w:val="24"/>
                <w:szCs w:val="24"/>
              </w:rPr>
            </w:pPr>
            <w:r>
              <w:rPr>
                <w:rFonts w:hint="eastAsia" w:ascii="宋体" w:hAnsi="宋体" w:eastAsia="仿宋_GB2312" w:cs="宋体"/>
                <w:b w:val="0"/>
                <w:bCs w:val="0"/>
                <w:sz w:val="24"/>
                <w:szCs w:val="24"/>
              </w:rPr>
              <w:t>审核人（签字盖章）：</w:t>
            </w:r>
          </w:p>
          <w:p>
            <w:pPr>
              <w:spacing w:line="560" w:lineRule="exact"/>
              <w:ind w:firstLine="720" w:firstLineChars="300"/>
              <w:rPr>
                <w:rFonts w:ascii="宋体" w:hAnsi="宋体" w:eastAsia="仿宋_GB2312" w:cs="宋体"/>
                <w:b w:val="0"/>
                <w:bCs w:val="0"/>
                <w:sz w:val="24"/>
                <w:szCs w:val="24"/>
              </w:rPr>
            </w:pPr>
            <w:r>
              <w:rPr>
                <w:rFonts w:hint="eastAsia" w:ascii="宋体" w:hAnsi="宋体" w:eastAsia="仿宋_GB2312" w:cs="宋体"/>
                <w:b w:val="0"/>
                <w:bCs w:val="0"/>
                <w:sz w:val="24"/>
                <w:szCs w:val="24"/>
              </w:rPr>
              <w:t xml:space="preserve">（公章）  </w:t>
            </w:r>
          </w:p>
          <w:p>
            <w:pPr>
              <w:spacing w:line="560" w:lineRule="exact"/>
              <w:ind w:firstLine="720" w:firstLineChars="300"/>
              <w:rPr>
                <w:rFonts w:ascii="宋体" w:hAnsi="宋体" w:eastAsia="仿宋_GB2312" w:cs="宋体"/>
                <w:b w:val="0"/>
                <w:bCs w:val="0"/>
                <w:sz w:val="24"/>
                <w:szCs w:val="24"/>
              </w:rPr>
            </w:pPr>
            <w:r>
              <w:rPr>
                <w:rFonts w:hint="eastAsia" w:ascii="宋体" w:hAnsi="宋体" w:eastAsia="仿宋_GB2312" w:cs="宋体"/>
                <w:b w:val="0"/>
                <w:bCs w:val="0"/>
                <w:sz w:val="24"/>
                <w:szCs w:val="24"/>
              </w:rPr>
              <w:t>时间：</w:t>
            </w:r>
            <w:r>
              <w:rPr>
                <w:rFonts w:hint="eastAsia" w:ascii="宋体" w:hAnsi="宋体" w:eastAsia="仿宋_GB2312" w:cs="宋体"/>
                <w:b w:val="0"/>
                <w:bCs w:val="0"/>
                <w:sz w:val="24"/>
                <w:szCs w:val="24"/>
                <w:u w:val="single"/>
              </w:rPr>
              <w:t>2019年    月    日</w:t>
            </w:r>
          </w:p>
        </w:tc>
      </w:tr>
    </w:tbl>
    <w:p>
      <w:pPr>
        <w:spacing w:line="560" w:lineRule="exact"/>
        <w:rPr>
          <w:rFonts w:ascii="宋体" w:hAnsi="宋体" w:eastAsia="仿宋_GB2312" w:cs="宋体"/>
          <w:b w:val="0"/>
          <w:bCs w:val="0"/>
          <w:sz w:val="24"/>
          <w:szCs w:val="24"/>
        </w:rPr>
      </w:pPr>
    </w:p>
    <w:p>
      <w:pPr>
        <w:widowControl/>
        <w:spacing w:line="560" w:lineRule="exact"/>
        <w:jc w:val="center"/>
        <w:textAlignment w:val="center"/>
        <w:rPr>
          <w:rFonts w:hint="eastAsia" w:ascii="宋体" w:hAnsi="宋体" w:eastAsia="方正小标宋简体" w:cs="宋体"/>
          <w:b w:val="0"/>
          <w:bCs w:val="0"/>
          <w:color w:val="000000"/>
          <w:kern w:val="0"/>
          <w:sz w:val="24"/>
          <w:szCs w:val="24"/>
          <w:lang w:bidi="ar"/>
        </w:rPr>
        <w:sectPr>
          <w:footerReference r:id="rId13" w:type="default"/>
          <w:pgSz w:w="11906" w:h="16838"/>
          <w:pgMar w:top="1803" w:right="1440" w:bottom="1803" w:left="1440" w:header="851" w:footer="992" w:gutter="0"/>
          <w:pgNumType w:fmt="decimal"/>
          <w:cols w:space="720" w:num="1"/>
          <w:rtlGutter w:val="0"/>
          <w:docGrid w:type="lines" w:linePitch="312" w:charSpace="0"/>
        </w:sectPr>
      </w:pPr>
    </w:p>
    <w:tbl>
      <w:tblPr>
        <w:tblStyle w:val="21"/>
        <w:tblpPr w:leftFromText="180" w:rightFromText="180" w:vertAnchor="text" w:horzAnchor="page" w:tblpX="1421" w:tblpY="-922"/>
        <w:tblOverlap w:val="never"/>
        <w:tblW w:w="13640" w:type="dxa"/>
        <w:tblInd w:w="0" w:type="dxa"/>
        <w:tblLayout w:type="fixed"/>
        <w:tblCellMar>
          <w:top w:w="0" w:type="dxa"/>
          <w:left w:w="0" w:type="dxa"/>
          <w:bottom w:w="0" w:type="dxa"/>
          <w:right w:w="0" w:type="dxa"/>
        </w:tblCellMar>
      </w:tblPr>
      <w:tblGrid>
        <w:gridCol w:w="1367"/>
        <w:gridCol w:w="1650"/>
        <w:gridCol w:w="2848"/>
        <w:gridCol w:w="3575"/>
        <w:gridCol w:w="1592"/>
        <w:gridCol w:w="1438"/>
        <w:gridCol w:w="1170"/>
      </w:tblGrid>
      <w:tr>
        <w:tblPrEx>
          <w:tblCellMar>
            <w:top w:w="0" w:type="dxa"/>
            <w:left w:w="0" w:type="dxa"/>
            <w:bottom w:w="0" w:type="dxa"/>
            <w:right w:w="0" w:type="dxa"/>
          </w:tblCellMar>
        </w:tblPrEx>
        <w:trPr>
          <w:trHeight w:val="557" w:hRule="atLeast"/>
        </w:trPr>
        <w:tc>
          <w:tcPr>
            <w:tcW w:w="13640" w:type="dxa"/>
            <w:gridSpan w:val="7"/>
            <w:tcBorders>
              <w:top w:val="nil"/>
              <w:left w:val="nil"/>
              <w:bottom w:val="nil"/>
              <w:right w:val="nil"/>
            </w:tcBorders>
            <w:noWrap/>
            <w:tcMar>
              <w:top w:w="12" w:type="dxa"/>
              <w:left w:w="12" w:type="dxa"/>
              <w:right w:w="12" w:type="dxa"/>
            </w:tcMar>
            <w:vAlign w:val="center"/>
          </w:tcPr>
          <w:p>
            <w:pPr>
              <w:widowControl/>
              <w:spacing w:line="560" w:lineRule="exact"/>
              <w:jc w:val="center"/>
              <w:textAlignment w:val="center"/>
              <w:rPr>
                <w:rFonts w:ascii="宋体" w:hAnsi="宋体" w:eastAsia="方正小标宋简体" w:cs="宋体"/>
                <w:b w:val="0"/>
                <w:bCs w:val="0"/>
                <w:color w:val="000000"/>
                <w:sz w:val="24"/>
                <w:szCs w:val="24"/>
              </w:rPr>
            </w:pPr>
            <w:r>
              <w:rPr>
                <w:rFonts w:hint="eastAsia" w:ascii="宋体" w:hAnsi="宋体" w:eastAsia="方正小标宋简体" w:cs="宋体"/>
                <w:b w:val="0"/>
                <w:bCs w:val="0"/>
                <w:color w:val="000000"/>
                <w:kern w:val="0"/>
                <w:sz w:val="24"/>
                <w:szCs w:val="24"/>
                <w:lang w:bidi="ar"/>
              </w:rPr>
              <w:t>射洪</w:t>
            </w:r>
            <w:r>
              <w:rPr>
                <w:rFonts w:hint="eastAsia" w:ascii="宋体" w:hAnsi="宋体" w:eastAsia="方正小标宋简体" w:cs="宋体"/>
                <w:b w:val="0"/>
                <w:bCs w:val="0"/>
                <w:color w:val="000000"/>
                <w:kern w:val="0"/>
                <w:sz w:val="24"/>
                <w:szCs w:val="24"/>
                <w:lang w:val="en-US" w:eastAsia="zh-CN" w:bidi="ar"/>
              </w:rPr>
              <w:t>市</w:t>
            </w:r>
            <w:r>
              <w:rPr>
                <w:rFonts w:hint="eastAsia" w:ascii="宋体" w:hAnsi="宋体" w:eastAsia="方正小标宋简体" w:cs="宋体"/>
                <w:b w:val="0"/>
                <w:bCs w:val="0"/>
                <w:color w:val="000000"/>
                <w:kern w:val="0"/>
                <w:sz w:val="24"/>
                <w:szCs w:val="24"/>
                <w:lang w:bidi="ar"/>
              </w:rPr>
              <w:t>农村户用卫生厕所改造指导工程量清单</w:t>
            </w:r>
          </w:p>
        </w:tc>
      </w:tr>
      <w:tr>
        <w:tblPrEx>
          <w:tblCellMar>
            <w:top w:w="0" w:type="dxa"/>
            <w:left w:w="0" w:type="dxa"/>
            <w:bottom w:w="0" w:type="dxa"/>
            <w:right w:w="0" w:type="dxa"/>
          </w:tblCellMar>
        </w:tblPrEx>
        <w:trPr>
          <w:trHeight w:val="544" w:hRule="atLeast"/>
        </w:trPr>
        <w:tc>
          <w:tcPr>
            <w:tcW w:w="3017" w:type="dxa"/>
            <w:gridSpan w:val="2"/>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center"/>
              <w:textAlignment w:val="center"/>
              <w:rPr>
                <w:rFonts w:ascii="宋体" w:hAnsi="宋体" w:eastAsia="宋体" w:cs="宋体"/>
                <w:b w:val="0"/>
                <w:bCs w:val="0"/>
                <w:color w:val="000000"/>
                <w:sz w:val="24"/>
                <w:szCs w:val="24"/>
              </w:rPr>
            </w:pPr>
            <w:r>
              <w:rPr>
                <w:rFonts w:hint="eastAsia" w:ascii="宋体" w:hAnsi="宋体" w:eastAsia="宋体" w:cs="宋体"/>
                <w:b w:val="0"/>
                <w:bCs w:val="0"/>
                <w:color w:val="000000"/>
                <w:kern w:val="0"/>
                <w:sz w:val="24"/>
                <w:szCs w:val="24"/>
                <w:lang w:bidi="ar"/>
              </w:rPr>
              <w:t>改造范围及内容</w:t>
            </w:r>
          </w:p>
        </w:tc>
        <w:tc>
          <w:tcPr>
            <w:tcW w:w="2848"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center"/>
              <w:textAlignment w:val="center"/>
              <w:rPr>
                <w:rFonts w:ascii="宋体" w:hAnsi="宋体" w:eastAsia="宋体" w:cs="宋体"/>
                <w:b w:val="0"/>
                <w:bCs w:val="0"/>
                <w:color w:val="000000"/>
                <w:sz w:val="24"/>
                <w:szCs w:val="24"/>
              </w:rPr>
            </w:pPr>
            <w:r>
              <w:rPr>
                <w:rFonts w:hint="eastAsia" w:ascii="宋体" w:hAnsi="宋体" w:eastAsia="宋体" w:cs="宋体"/>
                <w:b w:val="0"/>
                <w:bCs w:val="0"/>
                <w:color w:val="000000"/>
                <w:kern w:val="0"/>
                <w:sz w:val="24"/>
                <w:szCs w:val="24"/>
                <w:lang w:bidi="ar"/>
              </w:rPr>
              <w:t>主要建设项目内容</w:t>
            </w:r>
          </w:p>
        </w:tc>
        <w:tc>
          <w:tcPr>
            <w:tcW w:w="3575"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center"/>
              <w:textAlignment w:val="center"/>
              <w:rPr>
                <w:rFonts w:ascii="宋体" w:hAnsi="宋体" w:eastAsia="宋体" w:cs="宋体"/>
                <w:b w:val="0"/>
                <w:bCs w:val="0"/>
                <w:color w:val="000000"/>
                <w:sz w:val="24"/>
                <w:szCs w:val="24"/>
              </w:rPr>
            </w:pPr>
            <w:r>
              <w:rPr>
                <w:rFonts w:hint="eastAsia" w:ascii="宋体" w:hAnsi="宋体" w:cs="宋体"/>
                <w:b w:val="0"/>
                <w:bCs w:val="0"/>
                <w:color w:val="000000"/>
                <w:kern w:val="0"/>
                <w:sz w:val="24"/>
                <w:szCs w:val="24"/>
                <w:lang w:bidi="ar"/>
              </w:rPr>
              <w:t>建设标准</w:t>
            </w:r>
          </w:p>
        </w:tc>
        <w:tc>
          <w:tcPr>
            <w:tcW w:w="1592" w:type="dxa"/>
            <w:tcBorders>
              <w:top w:val="single" w:color="000000" w:sz="4" w:space="0"/>
              <w:left w:val="single" w:color="000000" w:sz="4" w:space="0"/>
              <w:bottom w:val="single" w:color="000000" w:sz="4" w:space="0"/>
              <w:right w:val="single" w:color="auto" w:sz="4" w:space="0"/>
            </w:tcBorders>
            <w:noWrap w:val="0"/>
            <w:tcMar>
              <w:top w:w="12" w:type="dxa"/>
              <w:left w:w="12" w:type="dxa"/>
              <w:right w:w="12" w:type="dxa"/>
            </w:tcMar>
            <w:vAlign w:val="center"/>
          </w:tcPr>
          <w:p>
            <w:pPr>
              <w:widowControl/>
              <w:spacing w:line="320" w:lineRule="exact"/>
              <w:jc w:val="center"/>
              <w:textAlignment w:val="center"/>
              <w:rPr>
                <w:rFonts w:ascii="宋体" w:hAnsi="宋体" w:eastAsia="宋体" w:cs="宋体"/>
                <w:b w:val="0"/>
                <w:bCs w:val="0"/>
                <w:color w:val="000000"/>
                <w:sz w:val="24"/>
                <w:szCs w:val="24"/>
              </w:rPr>
            </w:pPr>
            <w:r>
              <w:rPr>
                <w:rFonts w:hint="eastAsia" w:ascii="宋体" w:hAnsi="宋体" w:eastAsia="宋体" w:cs="宋体"/>
                <w:b w:val="0"/>
                <w:bCs w:val="0"/>
                <w:color w:val="000000"/>
                <w:sz w:val="24"/>
                <w:szCs w:val="24"/>
              </w:rPr>
              <w:t>预算价格（元）</w:t>
            </w:r>
          </w:p>
        </w:tc>
        <w:tc>
          <w:tcPr>
            <w:tcW w:w="1438" w:type="dxa"/>
            <w:tcBorders>
              <w:top w:val="single" w:color="000000" w:sz="4" w:space="0"/>
              <w:left w:val="single" w:color="auto" w:sz="4" w:space="0"/>
              <w:bottom w:val="single" w:color="000000" w:sz="4" w:space="0"/>
              <w:right w:val="single" w:color="auto" w:sz="4" w:space="0"/>
            </w:tcBorders>
            <w:noWrap w:val="0"/>
            <w:tcMar>
              <w:top w:w="12" w:type="dxa"/>
              <w:left w:w="12" w:type="dxa"/>
              <w:right w:w="12" w:type="dxa"/>
            </w:tcMar>
            <w:vAlign w:val="center"/>
          </w:tcPr>
          <w:p>
            <w:pPr>
              <w:widowControl/>
              <w:spacing w:line="320" w:lineRule="exact"/>
              <w:jc w:val="center"/>
              <w:textAlignment w:val="center"/>
              <w:rPr>
                <w:rFonts w:ascii="宋体" w:hAnsi="宋体" w:eastAsia="宋体" w:cs="宋体"/>
                <w:b w:val="0"/>
                <w:bCs w:val="0"/>
                <w:color w:val="000000"/>
                <w:sz w:val="24"/>
                <w:szCs w:val="24"/>
              </w:rPr>
            </w:pPr>
            <w:r>
              <w:rPr>
                <w:rFonts w:hint="eastAsia" w:ascii="宋体" w:hAnsi="宋体" w:eastAsia="宋体" w:cs="宋体"/>
                <w:b w:val="0"/>
                <w:bCs w:val="0"/>
                <w:color w:val="000000"/>
                <w:sz w:val="24"/>
                <w:szCs w:val="24"/>
              </w:rPr>
              <w:t>工程量</w:t>
            </w:r>
          </w:p>
        </w:tc>
        <w:tc>
          <w:tcPr>
            <w:tcW w:w="1170" w:type="dxa"/>
            <w:tcBorders>
              <w:top w:val="single" w:color="000000" w:sz="4" w:space="0"/>
              <w:left w:val="single" w:color="auto"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center"/>
              <w:textAlignment w:val="center"/>
              <w:rPr>
                <w:rFonts w:ascii="宋体" w:hAnsi="宋体" w:cs="宋体"/>
                <w:b w:val="0"/>
                <w:bCs w:val="0"/>
                <w:color w:val="000000"/>
                <w:sz w:val="24"/>
                <w:szCs w:val="24"/>
              </w:rPr>
            </w:pPr>
            <w:r>
              <w:rPr>
                <w:rFonts w:hint="eastAsia" w:ascii="宋体" w:hAnsi="宋体" w:cs="宋体"/>
                <w:b w:val="0"/>
                <w:bCs w:val="0"/>
                <w:color w:val="000000"/>
                <w:sz w:val="24"/>
                <w:szCs w:val="24"/>
              </w:rPr>
              <w:t>结算价格</w:t>
            </w:r>
          </w:p>
        </w:tc>
      </w:tr>
      <w:tr>
        <w:tblPrEx>
          <w:tblCellMar>
            <w:top w:w="0" w:type="dxa"/>
            <w:left w:w="0" w:type="dxa"/>
            <w:bottom w:w="0" w:type="dxa"/>
            <w:right w:w="0" w:type="dxa"/>
          </w:tblCellMar>
        </w:tblPrEx>
        <w:trPr>
          <w:trHeight w:val="350" w:hRule="atLeast"/>
        </w:trPr>
        <w:tc>
          <w:tcPr>
            <w:tcW w:w="1367" w:type="dxa"/>
            <w:vMerge w:val="restart"/>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center"/>
              <w:textAlignment w:val="center"/>
              <w:rPr>
                <w:rFonts w:ascii="宋体" w:hAnsi="宋体" w:eastAsia="宋体" w:cs="宋体"/>
                <w:b w:val="0"/>
                <w:bCs w:val="0"/>
                <w:color w:val="000000"/>
                <w:sz w:val="24"/>
                <w:szCs w:val="24"/>
              </w:rPr>
            </w:pPr>
            <w:r>
              <w:rPr>
                <w:rFonts w:hint="eastAsia" w:ascii="宋体" w:hAnsi="宋体" w:eastAsia="宋体" w:cs="宋体"/>
                <w:b w:val="0"/>
                <w:bCs w:val="0"/>
                <w:color w:val="000000"/>
                <w:kern w:val="0"/>
                <w:sz w:val="24"/>
                <w:szCs w:val="24"/>
                <w:lang w:bidi="ar"/>
              </w:rPr>
              <w:t>改厕</w:t>
            </w:r>
          </w:p>
        </w:tc>
        <w:tc>
          <w:tcPr>
            <w:tcW w:w="1650" w:type="dxa"/>
            <w:vMerge w:val="restart"/>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center"/>
              <w:textAlignment w:val="center"/>
              <w:rPr>
                <w:rFonts w:ascii="宋体" w:hAnsi="宋体" w:eastAsia="宋体" w:cs="宋体"/>
                <w:b w:val="0"/>
                <w:bCs w:val="0"/>
                <w:color w:val="000000"/>
                <w:sz w:val="24"/>
                <w:szCs w:val="24"/>
              </w:rPr>
            </w:pPr>
            <w:r>
              <w:rPr>
                <w:rFonts w:hint="eastAsia" w:ascii="宋体" w:hAnsi="宋体" w:eastAsia="宋体" w:cs="宋体"/>
                <w:b w:val="0"/>
                <w:bCs w:val="0"/>
                <w:color w:val="000000"/>
                <w:kern w:val="0"/>
                <w:sz w:val="24"/>
                <w:szCs w:val="24"/>
                <w:lang w:bidi="ar"/>
              </w:rPr>
              <w:t>厕所(1处)</w:t>
            </w:r>
          </w:p>
        </w:tc>
        <w:tc>
          <w:tcPr>
            <w:tcW w:w="2848" w:type="dxa"/>
            <w:vMerge w:val="restart"/>
            <w:tcBorders>
              <w:top w:val="single" w:color="000000" w:sz="4" w:space="0"/>
              <w:left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sz w:val="24"/>
                <w:szCs w:val="24"/>
              </w:rPr>
            </w:pPr>
            <w:r>
              <w:rPr>
                <w:rFonts w:hint="eastAsia" w:ascii="宋体" w:hAnsi="宋体" w:eastAsia="宋体" w:cs="宋体"/>
                <w:b w:val="0"/>
                <w:bCs w:val="0"/>
                <w:color w:val="000000"/>
                <w:kern w:val="0"/>
                <w:sz w:val="24"/>
                <w:szCs w:val="24"/>
                <w:lang w:bidi="ar"/>
              </w:rPr>
              <w:t>新建厕所(</w:t>
            </w:r>
            <w:r>
              <w:rPr>
                <w:rFonts w:hint="eastAsia" w:ascii="宋体" w:hAnsi="宋体" w:cs="宋体"/>
                <w:b w:val="0"/>
                <w:bCs w:val="0"/>
                <w:color w:val="000000"/>
                <w:kern w:val="0"/>
                <w:sz w:val="24"/>
                <w:szCs w:val="24"/>
                <w:lang w:bidi="ar"/>
              </w:rPr>
              <w:t>新砌12墙</w:t>
            </w:r>
            <w:r>
              <w:rPr>
                <w:rFonts w:hint="eastAsia" w:ascii="宋体" w:hAnsi="宋体" w:eastAsia="宋体" w:cs="宋体"/>
                <w:b w:val="0"/>
                <w:bCs w:val="0"/>
                <w:color w:val="000000"/>
                <w:kern w:val="0"/>
                <w:sz w:val="24"/>
                <w:szCs w:val="24"/>
                <w:lang w:bidi="ar"/>
              </w:rPr>
              <w:t>)</w:t>
            </w:r>
          </w:p>
        </w:tc>
        <w:tc>
          <w:tcPr>
            <w:tcW w:w="3575" w:type="dxa"/>
            <w:tcBorders>
              <w:top w:val="single" w:color="000000" w:sz="4" w:space="0"/>
              <w:left w:val="single" w:color="000000" w:sz="4" w:space="0"/>
              <w:bottom w:val="single" w:color="auto"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cs="宋体"/>
                <w:b w:val="0"/>
                <w:bCs w:val="0"/>
                <w:color w:val="000000"/>
                <w:kern w:val="0"/>
                <w:sz w:val="24"/>
                <w:szCs w:val="24"/>
                <w:lang w:bidi="ar"/>
              </w:rPr>
            </w:pPr>
            <w:r>
              <w:rPr>
                <w:rFonts w:hint="eastAsia" w:ascii="宋体" w:hAnsi="宋体" w:cs="宋体"/>
                <w:b w:val="0"/>
                <w:bCs w:val="0"/>
                <w:color w:val="000000"/>
                <w:kern w:val="0"/>
                <w:sz w:val="24"/>
                <w:szCs w:val="24"/>
                <w:lang w:bidi="ar"/>
              </w:rPr>
              <w:t>地面≥1.2</w:t>
            </w:r>
            <w:r>
              <w:rPr>
                <w:rFonts w:hint="eastAsia" w:ascii="宋体" w:hAnsi="宋体" w:eastAsia="宋体" w:cs="宋体"/>
                <w:b w:val="0"/>
                <w:bCs w:val="0"/>
                <w:color w:val="000000"/>
                <w:kern w:val="0"/>
                <w:sz w:val="24"/>
                <w:szCs w:val="24"/>
                <w:lang w:bidi="ar"/>
              </w:rPr>
              <w:t>m</w:t>
            </w:r>
            <w:r>
              <w:rPr>
                <w:rFonts w:hint="eastAsia" w:ascii="宋体" w:hAnsi="宋体" w:eastAsia="宋体" w:cs="宋体"/>
                <w:b w:val="0"/>
                <w:bCs w:val="0"/>
                <w:color w:val="000000"/>
                <w:kern w:val="0"/>
                <w:sz w:val="24"/>
                <w:szCs w:val="24"/>
                <w:vertAlign w:val="superscript"/>
                <w:lang w:bidi="ar"/>
              </w:rPr>
              <w:t>2</w:t>
            </w:r>
          </w:p>
          <w:p>
            <w:pPr>
              <w:widowControl/>
              <w:spacing w:line="320" w:lineRule="exact"/>
              <w:jc w:val="left"/>
              <w:textAlignment w:val="center"/>
              <w:rPr>
                <w:rFonts w:ascii="宋体" w:hAnsi="宋体" w:eastAsia="宋体" w:cs="宋体"/>
                <w:b w:val="0"/>
                <w:bCs w:val="0"/>
                <w:color w:val="000000"/>
                <w:sz w:val="24"/>
                <w:szCs w:val="24"/>
              </w:rPr>
            </w:pPr>
            <w:r>
              <w:rPr>
                <w:rFonts w:hint="eastAsia" w:ascii="宋体" w:hAnsi="宋体" w:cs="宋体"/>
                <w:b w:val="0"/>
                <w:bCs w:val="0"/>
                <w:color w:val="000000"/>
                <w:kern w:val="0"/>
                <w:sz w:val="24"/>
                <w:szCs w:val="24"/>
                <w:lang w:bidi="ar"/>
              </w:rPr>
              <w:t>≥</w:t>
            </w:r>
            <w:r>
              <w:rPr>
                <w:rFonts w:hint="eastAsia" w:ascii="宋体" w:hAnsi="宋体" w:eastAsia="宋体" w:cs="宋体"/>
                <w:b w:val="0"/>
                <w:bCs w:val="0"/>
                <w:color w:val="000000"/>
                <w:kern w:val="0"/>
                <w:sz w:val="24"/>
                <w:szCs w:val="24"/>
                <w:lang w:bidi="ar"/>
              </w:rPr>
              <w:t>长(1.5)*宽(1.2)*高(2)</w:t>
            </w:r>
            <w:r>
              <w:rPr>
                <w:rFonts w:hint="eastAsia" w:ascii="宋体" w:hAnsi="宋体" w:cs="宋体"/>
                <w:b w:val="0"/>
                <w:bCs w:val="0"/>
                <w:color w:val="000000"/>
                <w:kern w:val="0"/>
                <w:sz w:val="24"/>
                <w:szCs w:val="24"/>
                <w:lang w:bidi="ar"/>
              </w:rPr>
              <w:t>m</w:t>
            </w:r>
          </w:p>
        </w:tc>
        <w:tc>
          <w:tcPr>
            <w:tcW w:w="1592" w:type="dxa"/>
            <w:tcBorders>
              <w:top w:val="single" w:color="000000" w:sz="4" w:space="0"/>
              <w:left w:val="single" w:color="000000" w:sz="4" w:space="0"/>
              <w:bottom w:val="single" w:color="auto" w:sz="4" w:space="0"/>
              <w:right w:val="single" w:color="auto"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438" w:type="dxa"/>
            <w:tcBorders>
              <w:top w:val="single" w:color="000000" w:sz="4" w:space="0"/>
              <w:left w:val="single" w:color="auto" w:sz="4" w:space="0"/>
              <w:bottom w:val="single" w:color="auto" w:sz="4" w:space="0"/>
              <w:right w:val="single" w:color="auto"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c>
          <w:tcPr>
            <w:tcW w:w="1170" w:type="dxa"/>
            <w:tcBorders>
              <w:top w:val="single" w:color="000000" w:sz="4" w:space="0"/>
              <w:left w:val="single" w:color="auto" w:sz="4" w:space="0"/>
              <w:bottom w:val="single" w:color="auto"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r>
      <w:tr>
        <w:tblPrEx>
          <w:tblCellMar>
            <w:top w:w="0" w:type="dxa"/>
            <w:left w:w="0" w:type="dxa"/>
            <w:bottom w:w="0" w:type="dxa"/>
            <w:right w:w="0" w:type="dxa"/>
          </w:tblCellMar>
        </w:tblPrEx>
        <w:trPr>
          <w:trHeight w:val="309" w:hRule="atLeast"/>
        </w:trPr>
        <w:tc>
          <w:tcPr>
            <w:tcW w:w="1367" w:type="dxa"/>
            <w:vMerge w:val="continue"/>
            <w:tcBorders>
              <w:left w:val="single" w:color="000000" w:sz="4" w:space="0"/>
              <w:right w:val="single" w:color="000000" w:sz="4" w:space="0"/>
            </w:tcBorders>
            <w:noWrap w:val="0"/>
            <w:tcMar>
              <w:top w:w="12" w:type="dxa"/>
              <w:left w:w="12" w:type="dxa"/>
              <w:right w:w="12" w:type="dxa"/>
            </w:tcMar>
            <w:vAlign w:val="center"/>
          </w:tcPr>
          <w:p>
            <w:pPr>
              <w:widowControl/>
              <w:spacing w:line="320" w:lineRule="exact"/>
              <w:jc w:val="center"/>
              <w:textAlignment w:val="center"/>
              <w:rPr>
                <w:rFonts w:ascii="宋体" w:hAnsi="宋体" w:eastAsia="宋体" w:cs="宋体"/>
                <w:b w:val="0"/>
                <w:bCs w:val="0"/>
                <w:color w:val="000000"/>
                <w:kern w:val="0"/>
                <w:sz w:val="24"/>
                <w:szCs w:val="24"/>
                <w:lang w:bidi="ar"/>
              </w:rPr>
            </w:pPr>
          </w:p>
        </w:tc>
        <w:tc>
          <w:tcPr>
            <w:tcW w:w="1650" w:type="dxa"/>
            <w:vMerge w:val="continue"/>
            <w:tcBorders>
              <w:left w:val="single" w:color="000000" w:sz="4" w:space="0"/>
              <w:right w:val="single" w:color="000000" w:sz="4" w:space="0"/>
            </w:tcBorders>
            <w:noWrap w:val="0"/>
            <w:tcMar>
              <w:top w:w="12" w:type="dxa"/>
              <w:left w:w="12" w:type="dxa"/>
              <w:right w:w="12" w:type="dxa"/>
            </w:tcMar>
            <w:vAlign w:val="center"/>
          </w:tcPr>
          <w:p>
            <w:pPr>
              <w:widowControl/>
              <w:spacing w:line="320" w:lineRule="exact"/>
              <w:jc w:val="center"/>
              <w:textAlignment w:val="center"/>
              <w:rPr>
                <w:rFonts w:ascii="宋体" w:hAnsi="宋体" w:eastAsia="宋体" w:cs="宋体"/>
                <w:b w:val="0"/>
                <w:bCs w:val="0"/>
                <w:color w:val="000000"/>
                <w:kern w:val="0"/>
                <w:sz w:val="24"/>
                <w:szCs w:val="24"/>
                <w:lang w:bidi="ar"/>
              </w:rPr>
            </w:pPr>
          </w:p>
        </w:tc>
        <w:tc>
          <w:tcPr>
            <w:tcW w:w="2848" w:type="dxa"/>
            <w:vMerge w:val="continue"/>
            <w:tcBorders>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kern w:val="0"/>
                <w:sz w:val="24"/>
                <w:szCs w:val="24"/>
                <w:lang w:bidi="ar"/>
              </w:rPr>
            </w:pPr>
          </w:p>
        </w:tc>
        <w:tc>
          <w:tcPr>
            <w:tcW w:w="3575" w:type="dxa"/>
            <w:tcBorders>
              <w:top w:val="single" w:color="auto"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cs="宋体"/>
                <w:b w:val="0"/>
                <w:bCs w:val="0"/>
                <w:color w:val="000000"/>
                <w:kern w:val="0"/>
                <w:sz w:val="24"/>
                <w:szCs w:val="24"/>
                <w:lang w:bidi="ar"/>
              </w:rPr>
            </w:pPr>
            <w:r>
              <w:rPr>
                <w:rFonts w:hint="eastAsia" w:ascii="宋体" w:hAnsi="宋体" w:cs="宋体"/>
                <w:b w:val="0"/>
                <w:bCs w:val="0"/>
                <w:color w:val="000000"/>
                <w:kern w:val="0"/>
                <w:sz w:val="24"/>
                <w:szCs w:val="24"/>
                <w:lang w:bidi="ar"/>
              </w:rPr>
              <w:t>原墙体加高≥</w:t>
            </w:r>
            <w:r>
              <w:rPr>
                <w:rFonts w:hint="eastAsia" w:ascii="宋体" w:hAnsi="宋体" w:eastAsia="宋体" w:cs="宋体"/>
                <w:b w:val="0"/>
                <w:bCs w:val="0"/>
                <w:color w:val="000000"/>
                <w:kern w:val="0"/>
                <w:sz w:val="24"/>
                <w:szCs w:val="24"/>
                <w:lang w:bidi="ar"/>
              </w:rPr>
              <w:t>(2)</w:t>
            </w:r>
            <w:r>
              <w:rPr>
                <w:rFonts w:hint="eastAsia" w:ascii="宋体" w:hAnsi="宋体" w:cs="宋体"/>
                <w:b w:val="0"/>
                <w:bCs w:val="0"/>
                <w:color w:val="000000"/>
                <w:kern w:val="0"/>
                <w:sz w:val="24"/>
                <w:szCs w:val="24"/>
                <w:lang w:bidi="ar"/>
              </w:rPr>
              <w:t>m</w:t>
            </w:r>
          </w:p>
        </w:tc>
        <w:tc>
          <w:tcPr>
            <w:tcW w:w="1592" w:type="dxa"/>
            <w:tcBorders>
              <w:top w:val="single" w:color="auto" w:sz="4" w:space="0"/>
              <w:left w:val="single" w:color="000000" w:sz="4" w:space="0"/>
              <w:bottom w:val="single" w:color="000000" w:sz="4" w:space="0"/>
              <w:right w:val="single" w:color="auto"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438" w:type="dxa"/>
            <w:tcBorders>
              <w:top w:val="single" w:color="auto" w:sz="4" w:space="0"/>
              <w:left w:val="single" w:color="auto" w:sz="4" w:space="0"/>
              <w:bottom w:val="single" w:color="000000" w:sz="4" w:space="0"/>
              <w:right w:val="single" w:color="auto"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c>
          <w:tcPr>
            <w:tcW w:w="1170" w:type="dxa"/>
            <w:tcBorders>
              <w:top w:val="single" w:color="auto" w:sz="4" w:space="0"/>
              <w:left w:val="single" w:color="auto" w:sz="4" w:space="0"/>
              <w:bottom w:val="single" w:color="000000"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r>
      <w:tr>
        <w:tblPrEx>
          <w:tblCellMar>
            <w:top w:w="0" w:type="dxa"/>
            <w:left w:w="0" w:type="dxa"/>
            <w:bottom w:w="0" w:type="dxa"/>
            <w:right w:w="0" w:type="dxa"/>
          </w:tblCellMar>
        </w:tblPrEx>
        <w:trPr>
          <w:trHeight w:val="409" w:hRule="atLeast"/>
        </w:trPr>
        <w:tc>
          <w:tcPr>
            <w:tcW w:w="1367"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650"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2848"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sz w:val="24"/>
                <w:szCs w:val="24"/>
              </w:rPr>
            </w:pPr>
            <w:r>
              <w:rPr>
                <w:rFonts w:hint="eastAsia" w:ascii="宋体" w:hAnsi="宋体" w:eastAsia="宋体" w:cs="宋体"/>
                <w:b w:val="0"/>
                <w:bCs w:val="0"/>
                <w:color w:val="000000"/>
                <w:kern w:val="0"/>
                <w:sz w:val="24"/>
                <w:szCs w:val="24"/>
                <w:lang w:bidi="ar"/>
              </w:rPr>
              <w:t>蹲便器(含安装)</w:t>
            </w:r>
          </w:p>
        </w:tc>
        <w:tc>
          <w:tcPr>
            <w:tcW w:w="3575"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sz w:val="24"/>
                <w:szCs w:val="24"/>
              </w:rPr>
            </w:pPr>
            <w:r>
              <w:rPr>
                <w:rFonts w:hint="eastAsia" w:ascii="宋体" w:hAnsi="宋体" w:eastAsia="宋体" w:cs="宋体"/>
                <w:b w:val="0"/>
                <w:bCs w:val="0"/>
                <w:color w:val="000000"/>
                <w:kern w:val="0"/>
                <w:sz w:val="24"/>
                <w:szCs w:val="24"/>
                <w:lang w:bidi="ar"/>
              </w:rPr>
              <w:t>带水封蹲便器</w:t>
            </w:r>
          </w:p>
        </w:tc>
        <w:tc>
          <w:tcPr>
            <w:tcW w:w="1592" w:type="dxa"/>
            <w:tcBorders>
              <w:top w:val="single" w:color="000000" w:sz="4" w:space="0"/>
              <w:left w:val="single" w:color="000000" w:sz="4" w:space="0"/>
              <w:bottom w:val="single" w:color="000000" w:sz="4" w:space="0"/>
              <w:right w:val="single" w:color="auto"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438" w:type="dxa"/>
            <w:tcBorders>
              <w:top w:val="single" w:color="000000" w:sz="4" w:space="0"/>
              <w:left w:val="single" w:color="auto" w:sz="4" w:space="0"/>
              <w:bottom w:val="single" w:color="000000" w:sz="4" w:space="0"/>
              <w:right w:val="single" w:color="auto"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c>
          <w:tcPr>
            <w:tcW w:w="1170" w:type="dxa"/>
            <w:tcBorders>
              <w:top w:val="single" w:color="000000" w:sz="4" w:space="0"/>
              <w:left w:val="single" w:color="auto" w:sz="4" w:space="0"/>
              <w:bottom w:val="single" w:color="000000"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r>
      <w:tr>
        <w:tblPrEx>
          <w:tblCellMar>
            <w:top w:w="0" w:type="dxa"/>
            <w:left w:w="0" w:type="dxa"/>
            <w:bottom w:w="0" w:type="dxa"/>
            <w:right w:w="0" w:type="dxa"/>
          </w:tblCellMar>
        </w:tblPrEx>
        <w:trPr>
          <w:trHeight w:val="409" w:hRule="atLeast"/>
        </w:trPr>
        <w:tc>
          <w:tcPr>
            <w:tcW w:w="1367"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650"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2848"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sz w:val="24"/>
                <w:szCs w:val="24"/>
              </w:rPr>
            </w:pPr>
            <w:r>
              <w:rPr>
                <w:rFonts w:hint="eastAsia" w:ascii="宋体" w:hAnsi="宋体" w:eastAsia="宋体" w:cs="宋体"/>
                <w:b w:val="0"/>
                <w:bCs w:val="0"/>
                <w:color w:val="000000"/>
                <w:kern w:val="0"/>
                <w:sz w:val="24"/>
                <w:szCs w:val="24"/>
                <w:lang w:bidi="ar"/>
              </w:rPr>
              <w:t>其它</w:t>
            </w:r>
          </w:p>
        </w:tc>
        <w:tc>
          <w:tcPr>
            <w:tcW w:w="3575"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left"/>
              <w:rPr>
                <w:rFonts w:ascii="宋体" w:hAnsi="宋体" w:eastAsia="宋体" w:cs="宋体"/>
                <w:b w:val="0"/>
                <w:bCs w:val="0"/>
                <w:color w:val="000000"/>
                <w:sz w:val="24"/>
                <w:szCs w:val="24"/>
              </w:rPr>
            </w:pPr>
          </w:p>
        </w:tc>
        <w:tc>
          <w:tcPr>
            <w:tcW w:w="1592" w:type="dxa"/>
            <w:tcBorders>
              <w:top w:val="single" w:color="000000" w:sz="4" w:space="0"/>
              <w:left w:val="single" w:color="000000" w:sz="4" w:space="0"/>
              <w:bottom w:val="single" w:color="000000" w:sz="4" w:space="0"/>
              <w:right w:val="single" w:color="auto"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438" w:type="dxa"/>
            <w:tcBorders>
              <w:top w:val="single" w:color="000000" w:sz="4" w:space="0"/>
              <w:left w:val="single" w:color="auto" w:sz="4" w:space="0"/>
              <w:bottom w:val="single" w:color="000000" w:sz="4" w:space="0"/>
              <w:right w:val="single" w:color="auto"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c>
          <w:tcPr>
            <w:tcW w:w="1170" w:type="dxa"/>
            <w:tcBorders>
              <w:top w:val="single" w:color="000000" w:sz="4" w:space="0"/>
              <w:left w:val="single" w:color="auto" w:sz="4" w:space="0"/>
              <w:bottom w:val="single" w:color="000000"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r>
      <w:tr>
        <w:tblPrEx>
          <w:tblCellMar>
            <w:top w:w="0" w:type="dxa"/>
            <w:left w:w="0" w:type="dxa"/>
            <w:bottom w:w="0" w:type="dxa"/>
            <w:right w:w="0" w:type="dxa"/>
          </w:tblCellMar>
        </w:tblPrEx>
        <w:trPr>
          <w:trHeight w:val="566" w:hRule="atLeast"/>
        </w:trPr>
        <w:tc>
          <w:tcPr>
            <w:tcW w:w="1367"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650" w:type="dxa"/>
            <w:vMerge w:val="restart"/>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center"/>
              <w:textAlignment w:val="center"/>
              <w:rPr>
                <w:rFonts w:ascii="宋体" w:hAnsi="宋体" w:eastAsia="宋体" w:cs="宋体"/>
                <w:b w:val="0"/>
                <w:bCs w:val="0"/>
                <w:color w:val="000000"/>
                <w:sz w:val="24"/>
                <w:szCs w:val="24"/>
              </w:rPr>
            </w:pPr>
            <w:r>
              <w:rPr>
                <w:rFonts w:hint="eastAsia" w:ascii="宋体" w:hAnsi="宋体" w:eastAsia="宋体" w:cs="宋体"/>
                <w:b w:val="0"/>
                <w:bCs w:val="0"/>
                <w:color w:val="000000"/>
                <w:kern w:val="0"/>
                <w:sz w:val="24"/>
                <w:szCs w:val="24"/>
                <w:lang w:bidi="ar"/>
              </w:rPr>
              <w:t>化粪池</w:t>
            </w:r>
            <w:r>
              <w:rPr>
                <w:rFonts w:hint="eastAsia" w:ascii="宋体" w:hAnsi="宋体" w:eastAsia="宋体" w:cs="宋体"/>
                <w:b w:val="0"/>
                <w:bCs w:val="0"/>
                <w:color w:val="000000"/>
                <w:kern w:val="0"/>
                <w:sz w:val="24"/>
                <w:szCs w:val="24"/>
                <w:lang w:bidi="ar"/>
              </w:rPr>
              <w:br w:type="textWrapping"/>
            </w:r>
            <w:r>
              <w:rPr>
                <w:rFonts w:hint="eastAsia" w:ascii="宋体" w:hAnsi="宋体" w:eastAsia="宋体" w:cs="宋体"/>
                <w:b w:val="0"/>
                <w:bCs w:val="0"/>
                <w:color w:val="000000"/>
                <w:kern w:val="0"/>
                <w:sz w:val="24"/>
                <w:szCs w:val="24"/>
                <w:lang w:bidi="ar"/>
              </w:rPr>
              <w:t>(1处)</w:t>
            </w:r>
          </w:p>
        </w:tc>
        <w:tc>
          <w:tcPr>
            <w:tcW w:w="2848"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sz w:val="24"/>
                <w:szCs w:val="24"/>
              </w:rPr>
            </w:pPr>
            <w:r>
              <w:rPr>
                <w:rFonts w:hint="eastAsia" w:ascii="宋体" w:hAnsi="宋体" w:eastAsia="宋体" w:cs="宋体"/>
                <w:b w:val="0"/>
                <w:bCs w:val="0"/>
                <w:color w:val="000000"/>
                <w:kern w:val="0"/>
                <w:sz w:val="24"/>
                <w:szCs w:val="24"/>
                <w:lang w:bidi="ar"/>
              </w:rPr>
              <w:t>旧粪坑盖板(含取粪口)</w:t>
            </w:r>
          </w:p>
        </w:tc>
        <w:tc>
          <w:tcPr>
            <w:tcW w:w="3575"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sz w:val="24"/>
                <w:szCs w:val="24"/>
              </w:rPr>
            </w:pPr>
            <w:r>
              <w:rPr>
                <w:rFonts w:hint="eastAsia" w:ascii="宋体" w:hAnsi="宋体" w:eastAsia="宋体" w:cs="宋体"/>
                <w:b w:val="0"/>
                <w:bCs w:val="0"/>
                <w:color w:val="000000"/>
                <w:kern w:val="0"/>
                <w:sz w:val="24"/>
                <w:szCs w:val="24"/>
                <w:lang w:bidi="ar"/>
              </w:rPr>
              <w:t>根据粪口大小，现浇厚(0.05)</w:t>
            </w:r>
            <w:r>
              <w:rPr>
                <w:rFonts w:hint="eastAsia" w:ascii="宋体" w:hAnsi="宋体" w:cs="宋体"/>
                <w:b w:val="0"/>
                <w:bCs w:val="0"/>
                <w:color w:val="000000"/>
                <w:kern w:val="0"/>
                <w:sz w:val="24"/>
                <w:szCs w:val="24"/>
                <w:lang w:bidi="ar"/>
              </w:rPr>
              <w:t>m活动盖板</w:t>
            </w:r>
            <w:r>
              <w:rPr>
                <w:rFonts w:hint="eastAsia" w:ascii="宋体" w:hAnsi="宋体" w:eastAsia="宋体" w:cs="宋体"/>
                <w:b w:val="0"/>
                <w:bCs w:val="0"/>
                <w:color w:val="000000"/>
                <w:kern w:val="0"/>
                <w:sz w:val="24"/>
                <w:szCs w:val="24"/>
                <w:lang w:bidi="ar"/>
              </w:rPr>
              <w:t>,浇筑取粪口盖板(0.5*0.5)</w:t>
            </w:r>
            <w:r>
              <w:rPr>
                <w:rFonts w:hint="eastAsia" w:ascii="宋体" w:hAnsi="宋体" w:cs="宋体"/>
                <w:b w:val="0"/>
                <w:bCs w:val="0"/>
                <w:color w:val="000000"/>
                <w:kern w:val="0"/>
                <w:sz w:val="24"/>
                <w:szCs w:val="24"/>
                <w:lang w:bidi="ar"/>
              </w:rPr>
              <w:t>m</w:t>
            </w:r>
          </w:p>
        </w:tc>
        <w:tc>
          <w:tcPr>
            <w:tcW w:w="1592" w:type="dxa"/>
            <w:tcBorders>
              <w:top w:val="single" w:color="000000" w:sz="4" w:space="0"/>
              <w:left w:val="single" w:color="000000" w:sz="4" w:space="0"/>
              <w:bottom w:val="single" w:color="000000" w:sz="4" w:space="0"/>
              <w:right w:val="single" w:color="auto"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438" w:type="dxa"/>
            <w:tcBorders>
              <w:top w:val="single" w:color="000000" w:sz="4" w:space="0"/>
              <w:left w:val="single" w:color="auto" w:sz="4" w:space="0"/>
              <w:bottom w:val="single" w:color="000000" w:sz="4" w:space="0"/>
              <w:right w:val="single" w:color="auto"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c>
          <w:tcPr>
            <w:tcW w:w="1170" w:type="dxa"/>
            <w:tcBorders>
              <w:top w:val="single" w:color="000000" w:sz="4" w:space="0"/>
              <w:left w:val="single" w:color="auto" w:sz="4" w:space="0"/>
              <w:bottom w:val="single" w:color="000000"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r>
      <w:tr>
        <w:tblPrEx>
          <w:tblCellMar>
            <w:top w:w="0" w:type="dxa"/>
            <w:left w:w="0" w:type="dxa"/>
            <w:bottom w:w="0" w:type="dxa"/>
            <w:right w:w="0" w:type="dxa"/>
          </w:tblCellMar>
        </w:tblPrEx>
        <w:trPr>
          <w:trHeight w:val="334" w:hRule="atLeast"/>
        </w:trPr>
        <w:tc>
          <w:tcPr>
            <w:tcW w:w="1367"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650"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2848" w:type="dxa"/>
            <w:vMerge w:val="restart"/>
            <w:tcBorders>
              <w:top w:val="single" w:color="000000" w:sz="4" w:space="0"/>
              <w:left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cs="宋体"/>
                <w:b w:val="0"/>
                <w:bCs w:val="0"/>
                <w:color w:val="000000"/>
                <w:sz w:val="24"/>
                <w:szCs w:val="24"/>
              </w:rPr>
            </w:pPr>
            <w:r>
              <w:rPr>
                <w:rFonts w:hint="eastAsia" w:ascii="宋体" w:hAnsi="宋体" w:cs="宋体"/>
                <w:b w:val="0"/>
                <w:bCs w:val="0"/>
                <w:color w:val="000000"/>
                <w:sz w:val="24"/>
                <w:szCs w:val="24"/>
              </w:rPr>
              <w:t>三格化粪池(含安装)</w:t>
            </w:r>
          </w:p>
          <w:p>
            <w:pPr>
              <w:pStyle w:val="20"/>
              <w:spacing w:after="0" w:line="320" w:lineRule="exact"/>
              <w:ind w:left="0" w:leftChars="0" w:firstLine="0" w:firstLineChars="0"/>
              <w:rPr>
                <w:rFonts w:ascii="宋体" w:hAnsi="宋体" w:cs="宋体"/>
                <w:b w:val="0"/>
                <w:bCs w:val="0"/>
                <w:color w:val="0000FF"/>
                <w:sz w:val="24"/>
                <w:szCs w:val="24"/>
              </w:rPr>
            </w:pPr>
            <w:r>
              <w:rPr>
                <w:rFonts w:hint="eastAsia" w:ascii="宋体" w:hAnsi="宋体" w:eastAsia="宋体" w:cs="宋体"/>
                <w:b w:val="0"/>
                <w:bCs w:val="0"/>
                <w:color w:val="000000"/>
                <w:kern w:val="0"/>
                <w:sz w:val="24"/>
                <w:szCs w:val="24"/>
                <w:lang w:bidi="ar"/>
              </w:rPr>
              <w:t>长(2)*宽(1.2)*深(1.2)</w:t>
            </w:r>
            <w:r>
              <w:rPr>
                <w:rFonts w:hint="eastAsia" w:ascii="宋体" w:hAnsi="宋体" w:cs="宋体"/>
                <w:b w:val="0"/>
                <w:bCs w:val="0"/>
                <w:color w:val="000000"/>
                <w:kern w:val="0"/>
                <w:sz w:val="24"/>
                <w:szCs w:val="24"/>
                <w:lang w:bidi="ar"/>
              </w:rPr>
              <w:t>m</w:t>
            </w:r>
          </w:p>
        </w:tc>
        <w:tc>
          <w:tcPr>
            <w:tcW w:w="3575" w:type="dxa"/>
            <w:tcBorders>
              <w:top w:val="single" w:color="000000" w:sz="4" w:space="0"/>
              <w:left w:val="single" w:color="000000" w:sz="4" w:space="0"/>
              <w:bottom w:val="single" w:color="auto"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kern w:val="0"/>
                <w:sz w:val="24"/>
                <w:szCs w:val="24"/>
                <w:lang w:bidi="ar"/>
              </w:rPr>
            </w:pPr>
            <w:r>
              <w:rPr>
                <w:rFonts w:hint="eastAsia" w:ascii="宋体" w:hAnsi="宋体" w:eastAsia="宋体" w:cs="宋体"/>
                <w:b w:val="0"/>
                <w:bCs w:val="0"/>
                <w:color w:val="000000"/>
                <w:kern w:val="0"/>
                <w:sz w:val="24"/>
                <w:szCs w:val="24"/>
                <w:lang w:bidi="ar"/>
              </w:rPr>
              <w:t>PE材质</w:t>
            </w:r>
          </w:p>
        </w:tc>
        <w:tc>
          <w:tcPr>
            <w:tcW w:w="1592" w:type="dxa"/>
            <w:vMerge w:val="restart"/>
            <w:tcBorders>
              <w:top w:val="single" w:color="000000" w:sz="4" w:space="0"/>
              <w:left w:val="single" w:color="000000" w:sz="4" w:space="0"/>
              <w:right w:val="single" w:color="auto" w:sz="4" w:space="0"/>
            </w:tcBorders>
            <w:noWrap w:val="0"/>
            <w:tcMar>
              <w:top w:w="12" w:type="dxa"/>
              <w:left w:w="12" w:type="dxa"/>
              <w:right w:w="12" w:type="dxa"/>
            </w:tcMar>
            <w:vAlign w:val="center"/>
          </w:tcPr>
          <w:p>
            <w:pPr>
              <w:widowControl/>
              <w:spacing w:line="320" w:lineRule="exact"/>
              <w:jc w:val="center"/>
              <w:textAlignment w:val="center"/>
              <w:rPr>
                <w:rFonts w:ascii="宋体" w:hAnsi="宋体" w:eastAsia="宋体" w:cs="宋体"/>
                <w:b w:val="0"/>
                <w:bCs w:val="0"/>
                <w:color w:val="000000"/>
                <w:kern w:val="0"/>
                <w:sz w:val="24"/>
                <w:szCs w:val="24"/>
                <w:lang w:bidi="ar"/>
              </w:rPr>
            </w:pPr>
          </w:p>
        </w:tc>
        <w:tc>
          <w:tcPr>
            <w:tcW w:w="1438" w:type="dxa"/>
            <w:tcBorders>
              <w:top w:val="single" w:color="000000" w:sz="4" w:space="0"/>
              <w:left w:val="single" w:color="auto" w:sz="4" w:space="0"/>
              <w:bottom w:val="single" w:color="auto" w:sz="4" w:space="0"/>
              <w:right w:val="single" w:color="auto"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c>
          <w:tcPr>
            <w:tcW w:w="1170" w:type="dxa"/>
            <w:tcBorders>
              <w:top w:val="single" w:color="000000" w:sz="4" w:space="0"/>
              <w:left w:val="single" w:color="auto" w:sz="4" w:space="0"/>
              <w:bottom w:val="single" w:color="auto"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r>
      <w:tr>
        <w:tblPrEx>
          <w:tblCellMar>
            <w:top w:w="0" w:type="dxa"/>
            <w:left w:w="0" w:type="dxa"/>
            <w:bottom w:w="0" w:type="dxa"/>
            <w:right w:w="0" w:type="dxa"/>
          </w:tblCellMar>
        </w:tblPrEx>
        <w:trPr>
          <w:trHeight w:val="355" w:hRule="atLeast"/>
        </w:trPr>
        <w:tc>
          <w:tcPr>
            <w:tcW w:w="1367"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650"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2848" w:type="dxa"/>
            <w:vMerge w:val="continue"/>
            <w:tcBorders>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kern w:val="0"/>
                <w:sz w:val="24"/>
                <w:szCs w:val="24"/>
                <w:lang w:bidi="ar"/>
              </w:rPr>
            </w:pPr>
          </w:p>
        </w:tc>
        <w:tc>
          <w:tcPr>
            <w:tcW w:w="3575" w:type="dxa"/>
            <w:tcBorders>
              <w:top w:val="single" w:color="auto" w:sz="4" w:space="0"/>
              <w:left w:val="single" w:color="000000" w:sz="4" w:space="0"/>
              <w:bottom w:val="single" w:color="auto"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kern w:val="0"/>
                <w:sz w:val="24"/>
                <w:szCs w:val="24"/>
                <w:lang w:bidi="ar"/>
              </w:rPr>
            </w:pPr>
            <w:r>
              <w:rPr>
                <w:rFonts w:hint="eastAsia" w:ascii="宋体" w:hAnsi="宋体" w:eastAsia="宋体" w:cs="宋体"/>
                <w:b w:val="0"/>
                <w:bCs w:val="0"/>
                <w:color w:val="000000"/>
                <w:kern w:val="0"/>
                <w:sz w:val="24"/>
                <w:szCs w:val="24"/>
                <w:lang w:bidi="ar"/>
              </w:rPr>
              <w:t>玻璃钢材质</w:t>
            </w:r>
          </w:p>
        </w:tc>
        <w:tc>
          <w:tcPr>
            <w:tcW w:w="1592" w:type="dxa"/>
            <w:vMerge w:val="continue"/>
            <w:tcBorders>
              <w:left w:val="single" w:color="000000" w:sz="4" w:space="0"/>
              <w:right w:val="single" w:color="auto" w:sz="4" w:space="0"/>
            </w:tcBorders>
            <w:noWrap w:val="0"/>
            <w:tcMar>
              <w:top w:w="12" w:type="dxa"/>
              <w:left w:w="12" w:type="dxa"/>
              <w:right w:w="12" w:type="dxa"/>
            </w:tcMar>
            <w:vAlign w:val="center"/>
          </w:tcPr>
          <w:p>
            <w:pPr>
              <w:widowControl/>
              <w:spacing w:line="320" w:lineRule="exact"/>
              <w:jc w:val="center"/>
              <w:textAlignment w:val="center"/>
              <w:rPr>
                <w:rFonts w:ascii="宋体" w:hAnsi="宋体" w:eastAsia="宋体" w:cs="宋体"/>
                <w:b w:val="0"/>
                <w:bCs w:val="0"/>
                <w:color w:val="000000"/>
                <w:kern w:val="0"/>
                <w:sz w:val="24"/>
                <w:szCs w:val="24"/>
                <w:lang w:bidi="ar"/>
              </w:rPr>
            </w:pPr>
          </w:p>
        </w:tc>
        <w:tc>
          <w:tcPr>
            <w:tcW w:w="1438" w:type="dxa"/>
            <w:tcBorders>
              <w:top w:val="single" w:color="auto" w:sz="4" w:space="0"/>
              <w:left w:val="single" w:color="auto" w:sz="4" w:space="0"/>
              <w:bottom w:val="single" w:color="auto" w:sz="4" w:space="0"/>
              <w:right w:val="single" w:color="auto"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c>
          <w:tcPr>
            <w:tcW w:w="1170" w:type="dxa"/>
            <w:tcBorders>
              <w:top w:val="single" w:color="auto" w:sz="4" w:space="0"/>
              <w:left w:val="single" w:color="auto" w:sz="4" w:space="0"/>
              <w:bottom w:val="single" w:color="auto"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r>
      <w:tr>
        <w:tblPrEx>
          <w:tblCellMar>
            <w:top w:w="0" w:type="dxa"/>
            <w:left w:w="0" w:type="dxa"/>
            <w:bottom w:w="0" w:type="dxa"/>
            <w:right w:w="0" w:type="dxa"/>
          </w:tblCellMar>
        </w:tblPrEx>
        <w:trPr>
          <w:trHeight w:val="309" w:hRule="atLeast"/>
        </w:trPr>
        <w:tc>
          <w:tcPr>
            <w:tcW w:w="1367"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650"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2848" w:type="dxa"/>
            <w:vMerge w:val="continue"/>
            <w:tcBorders>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kern w:val="0"/>
                <w:sz w:val="24"/>
                <w:szCs w:val="24"/>
                <w:lang w:bidi="ar"/>
              </w:rPr>
            </w:pPr>
          </w:p>
        </w:tc>
        <w:tc>
          <w:tcPr>
            <w:tcW w:w="3575" w:type="dxa"/>
            <w:tcBorders>
              <w:top w:val="single" w:color="auto"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kern w:val="0"/>
                <w:sz w:val="24"/>
                <w:szCs w:val="24"/>
                <w:lang w:bidi="ar"/>
              </w:rPr>
            </w:pPr>
            <w:r>
              <w:rPr>
                <w:rFonts w:hint="eastAsia" w:ascii="宋体" w:hAnsi="宋体" w:eastAsia="宋体" w:cs="宋体"/>
                <w:b w:val="0"/>
                <w:bCs w:val="0"/>
                <w:color w:val="000000"/>
                <w:kern w:val="0"/>
                <w:sz w:val="24"/>
                <w:szCs w:val="24"/>
                <w:lang w:bidi="ar"/>
              </w:rPr>
              <w:t>混</w:t>
            </w:r>
            <w:r>
              <w:rPr>
                <w:rFonts w:hint="eastAsia" w:ascii="宋体" w:hAnsi="宋体" w:cs="宋体"/>
                <w:b w:val="0"/>
                <w:bCs w:val="0"/>
                <w:color w:val="000000"/>
                <w:kern w:val="0"/>
                <w:sz w:val="24"/>
                <w:szCs w:val="24"/>
                <w:lang w:eastAsia="zh-CN" w:bidi="ar"/>
              </w:rPr>
              <w:t>凝</w:t>
            </w:r>
            <w:r>
              <w:rPr>
                <w:rFonts w:hint="eastAsia" w:ascii="宋体" w:hAnsi="宋体" w:eastAsia="宋体" w:cs="宋体"/>
                <w:b w:val="0"/>
                <w:bCs w:val="0"/>
                <w:color w:val="000000"/>
                <w:kern w:val="0"/>
                <w:sz w:val="24"/>
                <w:szCs w:val="24"/>
                <w:lang w:bidi="ar"/>
              </w:rPr>
              <w:t>土浇筑+砖砌</w:t>
            </w:r>
          </w:p>
        </w:tc>
        <w:tc>
          <w:tcPr>
            <w:tcW w:w="1592" w:type="dxa"/>
            <w:vMerge w:val="continue"/>
            <w:tcBorders>
              <w:left w:val="single" w:color="000000" w:sz="4" w:space="0"/>
              <w:bottom w:val="single" w:color="000000" w:sz="4" w:space="0"/>
              <w:right w:val="single" w:color="auto" w:sz="4" w:space="0"/>
            </w:tcBorders>
            <w:noWrap w:val="0"/>
            <w:tcMar>
              <w:top w:w="12" w:type="dxa"/>
              <w:left w:w="12" w:type="dxa"/>
              <w:right w:w="12" w:type="dxa"/>
            </w:tcMar>
            <w:vAlign w:val="center"/>
          </w:tcPr>
          <w:p>
            <w:pPr>
              <w:widowControl/>
              <w:spacing w:line="320" w:lineRule="exact"/>
              <w:jc w:val="center"/>
              <w:textAlignment w:val="center"/>
              <w:rPr>
                <w:rFonts w:ascii="宋体" w:hAnsi="宋体" w:eastAsia="宋体" w:cs="宋体"/>
                <w:b w:val="0"/>
                <w:bCs w:val="0"/>
                <w:color w:val="000000"/>
                <w:kern w:val="0"/>
                <w:sz w:val="24"/>
                <w:szCs w:val="24"/>
                <w:lang w:bidi="ar"/>
              </w:rPr>
            </w:pPr>
          </w:p>
        </w:tc>
        <w:tc>
          <w:tcPr>
            <w:tcW w:w="1438" w:type="dxa"/>
            <w:tcBorders>
              <w:top w:val="single" w:color="auto" w:sz="4" w:space="0"/>
              <w:left w:val="single" w:color="auto" w:sz="4" w:space="0"/>
              <w:bottom w:val="single" w:color="000000" w:sz="4" w:space="0"/>
              <w:right w:val="single" w:color="auto"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c>
          <w:tcPr>
            <w:tcW w:w="1170" w:type="dxa"/>
            <w:tcBorders>
              <w:top w:val="single" w:color="auto" w:sz="4" w:space="0"/>
              <w:left w:val="single" w:color="auto" w:sz="4" w:space="0"/>
              <w:bottom w:val="single" w:color="000000"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r>
      <w:tr>
        <w:tblPrEx>
          <w:tblCellMar>
            <w:top w:w="0" w:type="dxa"/>
            <w:left w:w="0" w:type="dxa"/>
            <w:bottom w:w="0" w:type="dxa"/>
            <w:right w:w="0" w:type="dxa"/>
          </w:tblCellMar>
        </w:tblPrEx>
        <w:trPr>
          <w:trHeight w:val="197" w:hRule="atLeast"/>
        </w:trPr>
        <w:tc>
          <w:tcPr>
            <w:tcW w:w="1367"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650"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2848" w:type="dxa"/>
            <w:vMerge w:val="restart"/>
            <w:tcBorders>
              <w:top w:val="single" w:color="000000" w:sz="4" w:space="0"/>
              <w:left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kern w:val="0"/>
                <w:sz w:val="24"/>
                <w:szCs w:val="24"/>
                <w:lang w:bidi="ar"/>
              </w:rPr>
            </w:pPr>
            <w:r>
              <w:rPr>
                <w:rFonts w:hint="eastAsia" w:ascii="宋体" w:hAnsi="宋体" w:eastAsia="宋体" w:cs="宋体"/>
                <w:b w:val="0"/>
                <w:bCs w:val="0"/>
                <w:color w:val="000000"/>
                <w:kern w:val="0"/>
                <w:sz w:val="24"/>
                <w:szCs w:val="24"/>
                <w:lang w:bidi="ar"/>
              </w:rPr>
              <w:t>沼气池</w:t>
            </w:r>
          </w:p>
        </w:tc>
        <w:tc>
          <w:tcPr>
            <w:tcW w:w="3575" w:type="dxa"/>
            <w:tcBorders>
              <w:top w:val="single" w:color="000000" w:sz="4" w:space="0"/>
              <w:left w:val="single" w:color="000000" w:sz="4" w:space="0"/>
              <w:bottom w:val="single" w:color="auto"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r>
              <w:rPr>
                <w:rFonts w:hint="eastAsia" w:ascii="宋体" w:hAnsi="宋体" w:eastAsia="宋体" w:cs="宋体"/>
                <w:b w:val="0"/>
                <w:bCs w:val="0"/>
                <w:color w:val="000000"/>
                <w:sz w:val="24"/>
                <w:szCs w:val="24"/>
              </w:rPr>
              <w:t>新建</w:t>
            </w:r>
          </w:p>
        </w:tc>
        <w:tc>
          <w:tcPr>
            <w:tcW w:w="1592" w:type="dxa"/>
            <w:tcBorders>
              <w:top w:val="single" w:color="000000" w:sz="4" w:space="0"/>
              <w:left w:val="single" w:color="000000" w:sz="4" w:space="0"/>
              <w:bottom w:val="single" w:color="auto" w:sz="4" w:space="0"/>
              <w:right w:val="single" w:color="auto"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438" w:type="dxa"/>
            <w:tcBorders>
              <w:top w:val="single" w:color="000000" w:sz="4" w:space="0"/>
              <w:left w:val="single" w:color="auto" w:sz="4" w:space="0"/>
              <w:bottom w:val="single" w:color="auto" w:sz="4" w:space="0"/>
              <w:right w:val="single" w:color="auto"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c>
          <w:tcPr>
            <w:tcW w:w="1170" w:type="dxa"/>
            <w:tcBorders>
              <w:top w:val="single" w:color="000000" w:sz="4" w:space="0"/>
              <w:left w:val="single" w:color="auto" w:sz="4" w:space="0"/>
              <w:bottom w:val="single" w:color="auto"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r>
      <w:tr>
        <w:tblPrEx>
          <w:tblCellMar>
            <w:top w:w="0" w:type="dxa"/>
            <w:left w:w="0" w:type="dxa"/>
            <w:bottom w:w="0" w:type="dxa"/>
            <w:right w:w="0" w:type="dxa"/>
          </w:tblCellMar>
        </w:tblPrEx>
        <w:trPr>
          <w:trHeight w:val="234" w:hRule="atLeast"/>
        </w:trPr>
        <w:tc>
          <w:tcPr>
            <w:tcW w:w="1367"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650"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2848" w:type="dxa"/>
            <w:vMerge w:val="continue"/>
            <w:tcBorders>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kern w:val="0"/>
                <w:sz w:val="24"/>
                <w:szCs w:val="24"/>
                <w:lang w:bidi="ar"/>
              </w:rPr>
            </w:pPr>
          </w:p>
        </w:tc>
        <w:tc>
          <w:tcPr>
            <w:tcW w:w="3575" w:type="dxa"/>
            <w:tcBorders>
              <w:top w:val="single" w:color="auto"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r>
              <w:rPr>
                <w:rFonts w:hint="eastAsia" w:ascii="宋体" w:hAnsi="宋体" w:eastAsia="宋体" w:cs="宋体"/>
                <w:b w:val="0"/>
                <w:bCs w:val="0"/>
                <w:color w:val="000000"/>
                <w:kern w:val="0"/>
                <w:sz w:val="24"/>
                <w:szCs w:val="24"/>
                <w:lang w:bidi="ar"/>
              </w:rPr>
              <w:t>修缮</w:t>
            </w:r>
          </w:p>
        </w:tc>
        <w:tc>
          <w:tcPr>
            <w:tcW w:w="1592" w:type="dxa"/>
            <w:tcBorders>
              <w:top w:val="single" w:color="auto" w:sz="4" w:space="0"/>
              <w:left w:val="single" w:color="000000" w:sz="4" w:space="0"/>
              <w:bottom w:val="single" w:color="000000" w:sz="4" w:space="0"/>
              <w:right w:val="single" w:color="auto"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438" w:type="dxa"/>
            <w:tcBorders>
              <w:top w:val="single" w:color="auto" w:sz="4" w:space="0"/>
              <w:left w:val="single" w:color="auto" w:sz="4" w:space="0"/>
              <w:bottom w:val="single" w:color="000000" w:sz="4" w:space="0"/>
              <w:right w:val="single" w:color="auto"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c>
          <w:tcPr>
            <w:tcW w:w="1170" w:type="dxa"/>
            <w:tcBorders>
              <w:top w:val="single" w:color="auto" w:sz="4" w:space="0"/>
              <w:left w:val="single" w:color="auto" w:sz="4" w:space="0"/>
              <w:bottom w:val="single" w:color="000000"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r>
      <w:tr>
        <w:tblPrEx>
          <w:tblCellMar>
            <w:top w:w="0" w:type="dxa"/>
            <w:left w:w="0" w:type="dxa"/>
            <w:bottom w:w="0" w:type="dxa"/>
            <w:right w:w="0" w:type="dxa"/>
          </w:tblCellMar>
        </w:tblPrEx>
        <w:trPr>
          <w:trHeight w:val="409" w:hRule="atLeast"/>
        </w:trPr>
        <w:tc>
          <w:tcPr>
            <w:tcW w:w="1367"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650"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2848"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sz w:val="24"/>
                <w:szCs w:val="24"/>
              </w:rPr>
            </w:pPr>
            <w:r>
              <w:rPr>
                <w:rFonts w:hint="eastAsia" w:ascii="宋体" w:hAnsi="宋体" w:eastAsia="宋体" w:cs="宋体"/>
                <w:b w:val="0"/>
                <w:bCs w:val="0"/>
                <w:color w:val="000000"/>
                <w:kern w:val="0"/>
                <w:sz w:val="24"/>
                <w:szCs w:val="24"/>
                <w:lang w:bidi="ar"/>
              </w:rPr>
              <w:t>其它</w:t>
            </w:r>
          </w:p>
        </w:tc>
        <w:tc>
          <w:tcPr>
            <w:tcW w:w="3575"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c>
          <w:tcPr>
            <w:tcW w:w="1592" w:type="dxa"/>
            <w:tcBorders>
              <w:top w:val="single" w:color="000000" w:sz="4" w:space="0"/>
              <w:left w:val="single" w:color="000000" w:sz="4" w:space="0"/>
              <w:bottom w:val="single" w:color="000000" w:sz="4" w:space="0"/>
              <w:right w:val="single" w:color="auto"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438" w:type="dxa"/>
            <w:tcBorders>
              <w:top w:val="single" w:color="000000" w:sz="4" w:space="0"/>
              <w:left w:val="single" w:color="auto" w:sz="4" w:space="0"/>
              <w:bottom w:val="single" w:color="000000" w:sz="4" w:space="0"/>
              <w:right w:val="single" w:color="auto"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c>
          <w:tcPr>
            <w:tcW w:w="1170" w:type="dxa"/>
            <w:tcBorders>
              <w:top w:val="single" w:color="000000" w:sz="4" w:space="0"/>
              <w:left w:val="single" w:color="auto" w:sz="4" w:space="0"/>
              <w:bottom w:val="single" w:color="000000"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r>
      <w:tr>
        <w:tblPrEx>
          <w:tblCellMar>
            <w:top w:w="0" w:type="dxa"/>
            <w:left w:w="0" w:type="dxa"/>
            <w:bottom w:w="0" w:type="dxa"/>
            <w:right w:w="0" w:type="dxa"/>
          </w:tblCellMar>
        </w:tblPrEx>
        <w:trPr>
          <w:trHeight w:val="409" w:hRule="atLeast"/>
        </w:trPr>
        <w:tc>
          <w:tcPr>
            <w:tcW w:w="3017" w:type="dxa"/>
            <w:gridSpan w:val="2"/>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r>
              <w:rPr>
                <w:rFonts w:hint="eastAsia" w:ascii="宋体" w:hAnsi="宋体" w:eastAsia="宋体" w:cs="宋体"/>
                <w:b w:val="0"/>
                <w:bCs w:val="0"/>
                <w:color w:val="000000"/>
                <w:kern w:val="0"/>
                <w:sz w:val="24"/>
                <w:szCs w:val="24"/>
                <w:lang w:bidi="ar"/>
              </w:rPr>
              <w:t>其它</w:t>
            </w:r>
          </w:p>
        </w:tc>
        <w:tc>
          <w:tcPr>
            <w:tcW w:w="2848"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3575" w:type="dxa"/>
            <w:tcBorders>
              <w:top w:val="single" w:color="000000" w:sz="4" w:space="0"/>
              <w:left w:val="single" w:color="000000" w:sz="4" w:space="0"/>
              <w:bottom w:val="single" w:color="000000" w:sz="4" w:space="0"/>
              <w:right w:val="single" w:color="auto"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592" w:type="dxa"/>
            <w:tcBorders>
              <w:top w:val="single" w:color="000000" w:sz="4" w:space="0"/>
              <w:left w:val="single" w:color="auto" w:sz="4" w:space="0"/>
              <w:bottom w:val="single" w:color="000000" w:sz="4" w:space="0"/>
              <w:right w:val="single" w:color="auto"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438" w:type="dxa"/>
            <w:tcBorders>
              <w:top w:val="single" w:color="000000" w:sz="4" w:space="0"/>
              <w:left w:val="single" w:color="auto" w:sz="4" w:space="0"/>
              <w:bottom w:val="single" w:color="000000" w:sz="4" w:space="0"/>
              <w:right w:val="single" w:color="auto"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c>
          <w:tcPr>
            <w:tcW w:w="1170" w:type="dxa"/>
            <w:tcBorders>
              <w:top w:val="single" w:color="000000" w:sz="4" w:space="0"/>
              <w:left w:val="single" w:color="auto" w:sz="4" w:space="0"/>
              <w:bottom w:val="single" w:color="000000"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r>
      <w:tr>
        <w:tblPrEx>
          <w:tblCellMar>
            <w:top w:w="0" w:type="dxa"/>
            <w:left w:w="0" w:type="dxa"/>
            <w:bottom w:w="0" w:type="dxa"/>
            <w:right w:w="0" w:type="dxa"/>
          </w:tblCellMar>
        </w:tblPrEx>
        <w:trPr>
          <w:trHeight w:val="409" w:hRule="atLeast"/>
        </w:trPr>
        <w:tc>
          <w:tcPr>
            <w:tcW w:w="9440" w:type="dxa"/>
            <w:gridSpan w:val="4"/>
            <w:tcBorders>
              <w:top w:val="single" w:color="000000" w:sz="4" w:space="0"/>
              <w:left w:val="single" w:color="000000" w:sz="4" w:space="0"/>
              <w:bottom w:val="single" w:color="000000" w:sz="4" w:space="0"/>
              <w:right w:val="single" w:color="auto"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r>
              <w:rPr>
                <w:rFonts w:hint="eastAsia" w:ascii="宋体" w:hAnsi="宋体" w:eastAsia="宋体" w:cs="宋体"/>
                <w:b w:val="0"/>
                <w:bCs w:val="0"/>
                <w:color w:val="000000"/>
                <w:sz w:val="24"/>
                <w:szCs w:val="24"/>
              </w:rPr>
              <w:t>合计</w:t>
            </w:r>
          </w:p>
        </w:tc>
        <w:tc>
          <w:tcPr>
            <w:tcW w:w="1592" w:type="dxa"/>
            <w:tcBorders>
              <w:top w:val="single" w:color="000000" w:sz="4" w:space="0"/>
              <w:left w:val="single" w:color="auto" w:sz="4" w:space="0"/>
              <w:bottom w:val="single" w:color="000000" w:sz="4" w:space="0"/>
              <w:right w:val="single" w:color="auto"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438" w:type="dxa"/>
            <w:tcBorders>
              <w:top w:val="single" w:color="000000" w:sz="4" w:space="0"/>
              <w:left w:val="single" w:color="auto" w:sz="4" w:space="0"/>
              <w:bottom w:val="single" w:color="000000" w:sz="4" w:space="0"/>
              <w:right w:val="single" w:color="auto"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c>
          <w:tcPr>
            <w:tcW w:w="1170" w:type="dxa"/>
            <w:tcBorders>
              <w:top w:val="single" w:color="000000" w:sz="4" w:space="0"/>
              <w:left w:val="single" w:color="auto" w:sz="4" w:space="0"/>
              <w:bottom w:val="single" w:color="000000"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r>
      <w:tr>
        <w:tblPrEx>
          <w:tblCellMar>
            <w:top w:w="0" w:type="dxa"/>
            <w:left w:w="0" w:type="dxa"/>
            <w:bottom w:w="0" w:type="dxa"/>
            <w:right w:w="0" w:type="dxa"/>
          </w:tblCellMar>
        </w:tblPrEx>
        <w:trPr>
          <w:trHeight w:val="409" w:hRule="atLeast"/>
        </w:trPr>
        <w:tc>
          <w:tcPr>
            <w:tcW w:w="13640" w:type="dxa"/>
            <w:gridSpan w:val="7"/>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r>
              <w:rPr>
                <w:rFonts w:hint="eastAsia" w:ascii="宋体" w:hAnsi="宋体" w:cs="宋体"/>
                <w:b w:val="0"/>
                <w:bCs w:val="0"/>
                <w:color w:val="000000"/>
                <w:sz w:val="24"/>
                <w:szCs w:val="24"/>
              </w:rPr>
              <w:t>现场规划人员签字:</w:t>
            </w:r>
          </w:p>
        </w:tc>
      </w:tr>
      <w:tr>
        <w:tblPrEx>
          <w:tblCellMar>
            <w:top w:w="0" w:type="dxa"/>
            <w:left w:w="0" w:type="dxa"/>
            <w:bottom w:w="0" w:type="dxa"/>
            <w:right w:w="0" w:type="dxa"/>
          </w:tblCellMar>
        </w:tblPrEx>
        <w:trPr>
          <w:trHeight w:val="471" w:hRule="atLeast"/>
        </w:trPr>
        <w:tc>
          <w:tcPr>
            <w:tcW w:w="13640" w:type="dxa"/>
            <w:gridSpan w:val="7"/>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r>
              <w:rPr>
                <w:rFonts w:hint="eastAsia" w:ascii="宋体" w:hAnsi="宋体" w:cs="宋体"/>
                <w:b w:val="0"/>
                <w:bCs w:val="0"/>
                <w:color w:val="000000"/>
                <w:sz w:val="24"/>
                <w:szCs w:val="24"/>
              </w:rPr>
              <w:t>验收人员签字:</w:t>
            </w:r>
          </w:p>
        </w:tc>
      </w:tr>
    </w:tbl>
    <w:p>
      <w:pPr>
        <w:tabs>
          <w:tab w:val="left" w:pos="5745"/>
        </w:tabs>
        <w:ind w:left="1520" w:leftChars="200" w:hanging="960" w:hangingChars="400"/>
        <w:jc w:val="left"/>
        <w:rPr>
          <w:rFonts w:ascii="宋体" w:hAnsi="宋体" w:eastAsia="仿宋" w:cs="宋体"/>
          <w:b w:val="0"/>
          <w:bCs w:val="0"/>
          <w:sz w:val="24"/>
          <w:szCs w:val="24"/>
        </w:rPr>
      </w:pPr>
    </w:p>
    <w:p>
      <w:pPr>
        <w:tabs>
          <w:tab w:val="left" w:pos="5745"/>
        </w:tabs>
        <w:ind w:left="1520" w:leftChars="200" w:hanging="960" w:hangingChars="400"/>
        <w:jc w:val="left"/>
        <w:rPr>
          <w:rFonts w:ascii="宋体" w:hAnsi="宋体" w:eastAsia="仿宋" w:cs="宋体"/>
          <w:b w:val="0"/>
          <w:bCs w:val="0"/>
          <w:sz w:val="24"/>
          <w:szCs w:val="24"/>
        </w:rPr>
      </w:pPr>
      <w:r>
        <w:rPr>
          <w:rFonts w:hint="eastAsia" w:ascii="宋体" w:hAnsi="宋体" w:eastAsia="仿宋" w:cs="宋体"/>
          <w:b w:val="0"/>
          <w:bCs w:val="0"/>
          <w:sz w:val="24"/>
          <w:szCs w:val="24"/>
        </w:rPr>
        <w:t>备注：1.实施范围：全县各农村行政村（社区）农户。</w:t>
      </w:r>
    </w:p>
    <w:p>
      <w:pPr>
        <w:tabs>
          <w:tab w:val="left" w:pos="5745"/>
        </w:tabs>
        <w:ind w:firstLine="1200" w:firstLineChars="500"/>
        <w:jc w:val="left"/>
        <w:rPr>
          <w:rFonts w:ascii="宋体" w:hAnsi="宋体" w:eastAsia="仿宋" w:cs="宋体"/>
          <w:b w:val="0"/>
          <w:bCs w:val="0"/>
          <w:sz w:val="24"/>
          <w:szCs w:val="24"/>
        </w:rPr>
      </w:pPr>
      <w:r>
        <w:rPr>
          <w:rFonts w:hint="eastAsia" w:ascii="宋体" w:hAnsi="宋体" w:eastAsia="仿宋" w:cs="宋体"/>
          <w:b w:val="0"/>
          <w:bCs w:val="0"/>
          <w:sz w:val="24"/>
          <w:szCs w:val="24"/>
        </w:rPr>
        <w:t>2.单户改造：改厕部分纳入补助工程量的，政府按照验收结算金额补助不超过1000元；</w:t>
      </w:r>
    </w:p>
    <w:p>
      <w:pPr>
        <w:tabs>
          <w:tab w:val="left" w:pos="5745"/>
        </w:tabs>
        <w:ind w:firstLine="1200" w:firstLineChars="500"/>
        <w:jc w:val="left"/>
        <w:rPr>
          <w:rFonts w:ascii="宋体" w:hAnsi="宋体" w:eastAsia="仿宋" w:cs="宋体"/>
          <w:b w:val="0"/>
          <w:bCs w:val="0"/>
          <w:sz w:val="24"/>
          <w:szCs w:val="24"/>
        </w:rPr>
      </w:pPr>
      <w:r>
        <w:rPr>
          <w:rFonts w:hint="eastAsia" w:ascii="宋体" w:hAnsi="宋体" w:eastAsia="仿宋" w:cs="宋体"/>
          <w:b w:val="0"/>
          <w:bCs w:val="0"/>
          <w:sz w:val="24"/>
          <w:szCs w:val="24"/>
        </w:rPr>
        <w:t>3.群众自行增加工程项目、增加工程量或提高标准，单项或总额超过上述补助范围和金额的，由群众自筹承担。</w:t>
      </w:r>
    </w:p>
    <w:p>
      <w:pPr>
        <w:pStyle w:val="20"/>
        <w:spacing w:after="0" w:line="320" w:lineRule="exact"/>
        <w:ind w:left="0" w:leftChars="0" w:firstLine="1200" w:firstLineChars="500"/>
        <w:rPr>
          <w:rFonts w:hint="eastAsia" w:ascii="宋体" w:hAnsi="宋体" w:eastAsia="仿宋" w:cs="宋体"/>
          <w:b w:val="0"/>
          <w:bCs w:val="0"/>
          <w:sz w:val="24"/>
          <w:szCs w:val="24"/>
        </w:rPr>
        <w:sectPr>
          <w:footerReference r:id="rId14" w:type="default"/>
          <w:pgSz w:w="16838" w:h="11906" w:orient="landscape"/>
          <w:pgMar w:top="1440" w:right="1803" w:bottom="1440" w:left="1803" w:header="851" w:footer="992" w:gutter="0"/>
          <w:pgNumType w:fmt="decimal"/>
          <w:cols w:space="720" w:num="1"/>
          <w:rtlGutter w:val="0"/>
          <w:docGrid w:type="lines" w:linePitch="322" w:charSpace="0"/>
        </w:sectPr>
      </w:pPr>
      <w:r>
        <w:rPr>
          <w:rFonts w:hint="eastAsia" w:ascii="宋体" w:hAnsi="宋体" w:eastAsia="仿宋" w:cs="宋体"/>
          <w:b w:val="0"/>
          <w:bCs w:val="0"/>
          <w:sz w:val="24"/>
          <w:szCs w:val="24"/>
        </w:rPr>
        <w:t>4.本申请一式三份，镇、村、农户签字盖章后各存一份备查。</w:t>
      </w:r>
    </w:p>
    <w:p>
      <w:pPr>
        <w:spacing w:line="560" w:lineRule="exact"/>
        <w:jc w:val="left"/>
        <w:rPr>
          <w:rFonts w:hint="eastAsia" w:ascii="宋体" w:hAnsi="宋体" w:eastAsia="仿宋_GB2312" w:cs="宋体"/>
          <w:b w:val="0"/>
          <w:bCs w:val="0"/>
          <w:sz w:val="24"/>
          <w:szCs w:val="24"/>
          <w:lang w:eastAsia="zh-CN"/>
        </w:rPr>
      </w:pPr>
      <w:r>
        <w:rPr>
          <w:rFonts w:hint="eastAsia" w:ascii="宋体" w:hAnsi="宋体" w:eastAsia="仿宋_GB2312" w:cs="宋体"/>
          <w:b w:val="0"/>
          <w:bCs w:val="0"/>
          <w:sz w:val="24"/>
          <w:szCs w:val="24"/>
        </w:rPr>
        <w:t>附件</w:t>
      </w:r>
      <w:r>
        <w:rPr>
          <w:rFonts w:hint="eastAsia" w:ascii="宋体" w:hAnsi="宋体" w:eastAsia="仿宋_GB2312" w:cs="宋体"/>
          <w:b w:val="0"/>
          <w:bCs w:val="0"/>
          <w:sz w:val="24"/>
          <w:szCs w:val="24"/>
          <w:lang w:val="en-US" w:eastAsia="zh-CN"/>
        </w:rPr>
        <w:t>6</w:t>
      </w:r>
    </w:p>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方正小标宋简体" w:hAnsi="方正小标宋简体" w:eastAsia="方正小标宋简体" w:cs="方正小标宋简体"/>
          <w:sz w:val="24"/>
          <w:szCs w:val="24"/>
          <w:lang w:eastAsia="zh-CN"/>
        </w:rPr>
      </w:pPr>
    </w:p>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方正小标宋简体" w:hAnsi="方正小标宋简体" w:eastAsia="方正小标宋简体" w:cs="方正小标宋简体"/>
          <w:sz w:val="24"/>
          <w:szCs w:val="24"/>
          <w:lang w:eastAsia="zh-CN"/>
        </w:rPr>
      </w:pPr>
      <w:r>
        <w:rPr>
          <w:rFonts w:hint="eastAsia" w:ascii="方正小标宋简体" w:hAnsi="方正小标宋简体" w:eastAsia="方正小标宋简体" w:cs="方正小标宋简体"/>
          <w:sz w:val="24"/>
          <w:szCs w:val="24"/>
          <w:lang w:eastAsia="zh-CN"/>
        </w:rPr>
        <w:t>射洪</w:t>
      </w:r>
      <w:r>
        <w:rPr>
          <w:rFonts w:hint="eastAsia" w:ascii="方正小标宋简体" w:hAnsi="方正小标宋简体" w:eastAsia="方正小标宋简体" w:cs="方正小标宋简体"/>
          <w:sz w:val="24"/>
          <w:szCs w:val="24"/>
          <w:lang w:val="en-US" w:eastAsia="zh-CN"/>
        </w:rPr>
        <w:t>市</w:t>
      </w:r>
      <w:r>
        <w:rPr>
          <w:rFonts w:hint="eastAsia" w:ascii="方正小标宋简体" w:hAnsi="方正小标宋简体" w:eastAsia="方正小标宋简体" w:cs="方正小标宋简体"/>
          <w:sz w:val="24"/>
          <w:szCs w:val="24"/>
          <w:lang w:eastAsia="zh-CN"/>
        </w:rPr>
        <w:t>农村人居环境整治“污水革命”工作方案</w:t>
      </w:r>
    </w:p>
    <w:p>
      <w:pPr>
        <w:pageBreakBefore w:val="0"/>
        <w:widowControl w:val="0"/>
        <w:kinsoku/>
        <w:wordWrap/>
        <w:overflowPunct/>
        <w:topLinePunct w:val="0"/>
        <w:autoSpaceDE/>
        <w:autoSpaceDN/>
        <w:bidi w:val="0"/>
        <w:adjustRightInd/>
        <w:snapToGrid w:val="0"/>
        <w:spacing w:line="560" w:lineRule="exact"/>
        <w:ind w:firstLine="480" w:firstLineChars="200"/>
        <w:textAlignment w:val="auto"/>
        <w:rPr>
          <w:rFonts w:hint="eastAsia" w:ascii="仿宋_GB2312" w:hAnsi="仿宋_GB2312" w:eastAsia="仿宋_GB2312" w:cs="仿宋_GB2312"/>
          <w:color w:val="000000"/>
          <w:sz w:val="24"/>
          <w:szCs w:val="24"/>
        </w:rPr>
      </w:pPr>
    </w:p>
    <w:p>
      <w:pPr>
        <w:keepNext w:val="0"/>
        <w:keepLines w:val="0"/>
        <w:pageBreakBefore w:val="0"/>
        <w:kinsoku/>
        <w:wordWrap/>
        <w:overflowPunct/>
        <w:topLinePunct w:val="0"/>
        <w:autoSpaceDE/>
        <w:autoSpaceDN/>
        <w:bidi w:val="0"/>
        <w:adjustRightInd w:val="0"/>
        <w:spacing w:line="336" w:lineRule="auto"/>
        <w:ind w:firstLine="480" w:firstLineChars="200"/>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rPr>
        <w:t>改善农村人居环境，建设美丽宜居乡村是实施乡村振兴战略的重要任务，是促进城乡统筹、全面建成小康社会的重要抓手，事关生态环境全面改善，事关广大农民根本福祉，事关农村社会文明和谐。</w:t>
      </w:r>
      <w:r>
        <w:rPr>
          <w:rFonts w:hint="eastAsia" w:ascii="仿宋_GB2312" w:hAnsi="仿宋_GB2312" w:eastAsia="仿宋_GB2312" w:cs="仿宋_GB2312"/>
          <w:sz w:val="24"/>
          <w:szCs w:val="24"/>
          <w:lang w:eastAsia="zh-CN"/>
        </w:rPr>
        <w:t>为进一步改善我县农村人居环境，提升污水治理水平，结合我县实际情况，特制定本方案。</w:t>
      </w:r>
    </w:p>
    <w:p>
      <w:pPr>
        <w:keepNext w:val="0"/>
        <w:keepLines w:val="0"/>
        <w:pageBreakBefore w:val="0"/>
        <w:kinsoku/>
        <w:wordWrap/>
        <w:overflowPunct/>
        <w:topLinePunct w:val="0"/>
        <w:autoSpaceDE/>
        <w:autoSpaceDN/>
        <w:bidi w:val="0"/>
        <w:adjustRightInd w:val="0"/>
        <w:spacing w:line="336" w:lineRule="auto"/>
        <w:ind w:firstLine="480" w:firstLineChars="200"/>
        <w:textAlignment w:val="auto"/>
        <w:rPr>
          <w:rFonts w:hint="eastAsia" w:ascii="黑体" w:hAnsi="黑体" w:eastAsia="黑体" w:cs="黑体"/>
          <w:sz w:val="24"/>
          <w:szCs w:val="24"/>
          <w:lang w:val="en-US" w:eastAsia="zh-CN"/>
        </w:rPr>
      </w:pPr>
      <w:bookmarkStart w:id="2" w:name="_Toc8969_WPSOffice_Level2"/>
      <w:bookmarkStart w:id="3" w:name="_Toc23673"/>
      <w:r>
        <w:rPr>
          <w:rFonts w:hint="eastAsia" w:ascii="黑体" w:hAnsi="黑体" w:eastAsia="黑体" w:cs="黑体"/>
          <w:sz w:val="24"/>
          <w:szCs w:val="24"/>
          <w:lang w:val="en-US" w:eastAsia="zh-CN"/>
        </w:rPr>
        <w:t>一、指导思想</w:t>
      </w:r>
      <w:bookmarkEnd w:id="2"/>
      <w:bookmarkEnd w:id="3"/>
    </w:p>
    <w:p>
      <w:pPr>
        <w:keepNext w:val="0"/>
        <w:keepLines w:val="0"/>
        <w:pageBreakBefore w:val="0"/>
        <w:kinsoku/>
        <w:wordWrap/>
        <w:overflowPunct/>
        <w:topLinePunct w:val="0"/>
        <w:autoSpaceDE/>
        <w:autoSpaceDN/>
        <w:bidi w:val="0"/>
        <w:adjustRightInd w:val="0"/>
        <w:spacing w:line="336" w:lineRule="auto"/>
        <w:ind w:firstLine="480" w:firstLineChars="200"/>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以习近平新时代中国特色社会主义思想为指导，全面贯彻党的十九大精神，紧紧围绕党中央实施“乡村振兴战略”和省委、市委、县委重大决策部署，坚持农业农村优先发展，坚持绿水青山就是金山银山，顺应广大农民过上美好生活的期待，统筹城乡发展，统筹生产生活生态，以建设美丽宜居村庄为导向，以污水治理为主攻方向，加快补齐农村环境突出短板，不断优化美化农村人居环境，实现乡村振兴。</w:t>
      </w:r>
    </w:p>
    <w:p>
      <w:pPr>
        <w:keepNext w:val="0"/>
        <w:keepLines w:val="0"/>
        <w:pageBreakBefore w:val="0"/>
        <w:kinsoku/>
        <w:wordWrap/>
        <w:overflowPunct/>
        <w:topLinePunct w:val="0"/>
        <w:autoSpaceDE/>
        <w:autoSpaceDN/>
        <w:bidi w:val="0"/>
        <w:adjustRightInd w:val="0"/>
        <w:spacing w:line="336" w:lineRule="auto"/>
        <w:ind w:firstLine="480" w:firstLineChars="200"/>
        <w:textAlignment w:val="auto"/>
        <w:rPr>
          <w:rFonts w:hint="eastAsia" w:ascii="黑体" w:hAnsi="黑体" w:eastAsia="黑体" w:cs="黑体"/>
          <w:sz w:val="24"/>
          <w:szCs w:val="24"/>
          <w:lang w:val="en-US" w:eastAsia="zh-CN"/>
        </w:rPr>
      </w:pPr>
      <w:bookmarkStart w:id="4" w:name="_Toc19417"/>
      <w:bookmarkStart w:id="5" w:name="_Toc1131_WPSOffice_Level2"/>
      <w:r>
        <w:rPr>
          <w:rFonts w:hint="eastAsia" w:ascii="黑体" w:hAnsi="黑体" w:eastAsia="黑体" w:cs="黑体"/>
          <w:sz w:val="24"/>
          <w:szCs w:val="24"/>
          <w:lang w:val="en-US" w:eastAsia="zh-CN"/>
        </w:rPr>
        <w:t>二、基本原则</w:t>
      </w:r>
      <w:bookmarkEnd w:id="4"/>
      <w:bookmarkEnd w:id="5"/>
    </w:p>
    <w:p>
      <w:pPr>
        <w:keepNext w:val="0"/>
        <w:keepLines w:val="0"/>
        <w:pageBreakBefore w:val="0"/>
        <w:kinsoku/>
        <w:wordWrap/>
        <w:overflowPunct/>
        <w:topLinePunct w:val="0"/>
        <w:autoSpaceDE/>
        <w:autoSpaceDN/>
        <w:bidi w:val="0"/>
        <w:adjustRightInd w:val="0"/>
        <w:spacing w:line="336" w:lineRule="auto"/>
        <w:ind w:firstLine="480" w:firstLineChars="200"/>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rPr>
        <w:t>——因地制宜，分类指导。根据地理、民俗、经济水平和农民期盼，科学确定</w:t>
      </w:r>
      <w:r>
        <w:rPr>
          <w:rFonts w:hint="eastAsia" w:ascii="仿宋_GB2312" w:hAnsi="仿宋_GB2312" w:eastAsia="仿宋_GB2312" w:cs="仿宋_GB2312"/>
          <w:sz w:val="24"/>
          <w:szCs w:val="24"/>
          <w:lang w:eastAsia="zh-CN"/>
        </w:rPr>
        <w:t>我县</w:t>
      </w:r>
      <w:r>
        <w:rPr>
          <w:rFonts w:hint="eastAsia" w:ascii="仿宋_GB2312" w:hAnsi="仿宋_GB2312" w:eastAsia="仿宋_GB2312" w:cs="仿宋_GB2312"/>
          <w:sz w:val="24"/>
          <w:szCs w:val="24"/>
        </w:rPr>
        <w:t>整治目标，既尽力而为又量力而行，集中力量解决突出问题</w:t>
      </w:r>
      <w:r>
        <w:rPr>
          <w:rFonts w:hint="eastAsia" w:ascii="仿宋_GB2312" w:hAnsi="仿宋_GB2312" w:eastAsia="仿宋_GB2312" w:cs="仿宋_GB2312"/>
          <w:sz w:val="24"/>
          <w:szCs w:val="24"/>
          <w:lang w:eastAsia="zh-CN"/>
        </w:rPr>
        <w:t>。同时根据</w:t>
      </w:r>
      <w:r>
        <w:rPr>
          <w:rFonts w:hint="eastAsia" w:ascii="仿宋_GB2312" w:hAnsi="仿宋_GB2312" w:eastAsia="仿宋_GB2312" w:cs="仿宋_GB2312"/>
          <w:sz w:val="24"/>
          <w:szCs w:val="24"/>
        </w:rPr>
        <w:t>人居环境整治要求和实际需要合理确定建设整治措施</w:t>
      </w:r>
      <w:r>
        <w:rPr>
          <w:rFonts w:hint="eastAsia" w:ascii="仿宋_GB2312" w:hAnsi="仿宋_GB2312" w:eastAsia="仿宋_GB2312" w:cs="仿宋_GB2312"/>
          <w:sz w:val="24"/>
          <w:szCs w:val="24"/>
          <w:lang w:eastAsia="zh-CN"/>
        </w:rPr>
        <w:t>，优先采用人工湿地、一体化设施等</w:t>
      </w:r>
      <w:r>
        <w:rPr>
          <w:rFonts w:hint="eastAsia" w:ascii="仿宋_GB2312" w:hAnsi="仿宋_GB2312" w:eastAsia="仿宋_GB2312" w:cs="仿宋_GB2312"/>
          <w:sz w:val="24"/>
          <w:szCs w:val="24"/>
          <w:lang w:val="en-US" w:eastAsia="zh-CN"/>
        </w:rPr>
        <w:t>投资节省、管理简捷</w:t>
      </w:r>
      <w:r>
        <w:rPr>
          <w:rFonts w:hint="eastAsia" w:ascii="仿宋_GB2312" w:hAnsi="仿宋_GB2312" w:eastAsia="仿宋_GB2312" w:cs="仿宋_GB2312"/>
          <w:sz w:val="24"/>
          <w:szCs w:val="24"/>
          <w:lang w:eastAsia="zh-CN"/>
        </w:rPr>
        <w:t>的污水处理工艺。</w:t>
      </w:r>
    </w:p>
    <w:p>
      <w:pPr>
        <w:keepNext w:val="0"/>
        <w:keepLines w:val="0"/>
        <w:pageBreakBefore w:val="0"/>
        <w:widowControl/>
        <w:kinsoku/>
        <w:wordWrap/>
        <w:overflowPunct/>
        <w:topLinePunct w:val="0"/>
        <w:autoSpaceDE/>
        <w:autoSpaceDN/>
        <w:bidi w:val="0"/>
        <w:adjustRightInd w:val="0"/>
        <w:snapToGrid w:val="0"/>
        <w:spacing w:line="336" w:lineRule="auto"/>
        <w:ind w:firstLine="480" w:firstLineChars="200"/>
        <w:jc w:val="left"/>
        <w:textAlignment w:val="auto"/>
        <w:rPr>
          <w:rFonts w:hint="eastAsia" w:eastAsia="仿宋_GB2312" w:cs="宋体"/>
          <w:color w:val="000000"/>
          <w:kern w:val="0"/>
          <w:sz w:val="24"/>
          <w:szCs w:val="24"/>
        </w:rPr>
      </w:pPr>
      <w:r>
        <w:rPr>
          <w:rFonts w:hint="eastAsia" w:eastAsia="仿宋_GB2312"/>
          <w:color w:val="000000"/>
          <w:sz w:val="24"/>
          <w:szCs w:val="24"/>
        </w:rPr>
        <w:t>——</w:t>
      </w:r>
      <w:r>
        <w:rPr>
          <w:rFonts w:hint="eastAsia" w:hAnsi="Informal Roman" w:eastAsia="仿宋_GB2312"/>
          <w:color w:val="000000"/>
          <w:sz w:val="24"/>
          <w:szCs w:val="24"/>
        </w:rPr>
        <w:t>示范带动，统筹推进。</w:t>
      </w:r>
      <w:r>
        <w:rPr>
          <w:rFonts w:hint="eastAsia" w:hAnsi="Informal Roman" w:eastAsia="仿宋_GB2312"/>
          <w:color w:val="000000"/>
          <w:sz w:val="24"/>
          <w:szCs w:val="24"/>
          <w:lang w:eastAsia="zh-CN"/>
        </w:rPr>
        <w:t>在</w:t>
      </w:r>
      <w:r>
        <w:rPr>
          <w:rFonts w:hint="eastAsia" w:hAnsi="Informal Roman" w:eastAsia="仿宋_GB2312" w:cs="宋体"/>
          <w:color w:val="000000"/>
          <w:kern w:val="0"/>
          <w:sz w:val="24"/>
          <w:szCs w:val="24"/>
        </w:rPr>
        <w:t>学习借鉴</w:t>
      </w:r>
      <w:r>
        <w:rPr>
          <w:rFonts w:hint="eastAsia" w:hAnsi="Informal Roman" w:eastAsia="仿宋_GB2312" w:cs="宋体"/>
          <w:color w:val="000000"/>
          <w:kern w:val="0"/>
          <w:sz w:val="24"/>
          <w:szCs w:val="24"/>
          <w:lang w:eastAsia="zh-CN"/>
        </w:rPr>
        <w:t>其他地方先进经验的基础上，以示范点</w:t>
      </w:r>
      <w:r>
        <w:rPr>
          <w:rFonts w:hint="eastAsia" w:hAnsi="Informal Roman" w:eastAsia="仿宋_GB2312" w:cs="宋体"/>
          <w:color w:val="000000"/>
          <w:kern w:val="0"/>
          <w:sz w:val="24"/>
          <w:szCs w:val="24"/>
        </w:rPr>
        <w:t>探索</w:t>
      </w:r>
      <w:r>
        <w:rPr>
          <w:rFonts w:hint="eastAsia" w:hAnsi="Informal Roman" w:eastAsia="仿宋_GB2312" w:cs="宋体"/>
          <w:color w:val="000000"/>
          <w:kern w:val="0"/>
          <w:sz w:val="24"/>
          <w:szCs w:val="24"/>
          <w:lang w:eastAsia="zh-CN"/>
        </w:rPr>
        <w:t>、</w:t>
      </w:r>
      <w:r>
        <w:rPr>
          <w:rFonts w:hint="eastAsia" w:hAnsi="Informal Roman" w:eastAsia="仿宋_GB2312" w:cs="宋体"/>
          <w:color w:val="000000"/>
          <w:kern w:val="0"/>
          <w:sz w:val="24"/>
          <w:szCs w:val="24"/>
        </w:rPr>
        <w:t>积累</w:t>
      </w:r>
      <w:r>
        <w:rPr>
          <w:rFonts w:hint="eastAsia" w:hAnsi="Informal Roman" w:eastAsia="仿宋_GB2312" w:cs="宋体"/>
          <w:color w:val="000000"/>
          <w:kern w:val="0"/>
          <w:sz w:val="24"/>
          <w:szCs w:val="24"/>
          <w:lang w:eastAsia="zh-CN"/>
        </w:rPr>
        <w:t>的</w:t>
      </w:r>
      <w:r>
        <w:rPr>
          <w:rFonts w:hint="eastAsia" w:hAnsi="Informal Roman" w:eastAsia="仿宋_GB2312" w:cs="宋体"/>
          <w:color w:val="000000"/>
          <w:kern w:val="0"/>
          <w:sz w:val="24"/>
          <w:szCs w:val="24"/>
        </w:rPr>
        <w:t>经验，全域推进</w:t>
      </w:r>
      <w:r>
        <w:rPr>
          <w:rFonts w:hint="eastAsia" w:hAnsi="Informal Roman" w:eastAsia="仿宋_GB2312" w:cs="宋体"/>
          <w:color w:val="000000"/>
          <w:kern w:val="0"/>
          <w:sz w:val="24"/>
          <w:szCs w:val="24"/>
          <w:lang w:eastAsia="zh-CN"/>
        </w:rPr>
        <w:t>农村污水治理工作</w:t>
      </w:r>
      <w:r>
        <w:rPr>
          <w:rFonts w:hint="eastAsia" w:hAnsi="Informal Roman" w:eastAsia="仿宋_GB2312" w:cs="宋体"/>
          <w:color w:val="000000"/>
          <w:kern w:val="0"/>
          <w:sz w:val="24"/>
          <w:szCs w:val="24"/>
        </w:rPr>
        <w:t>，带动</w:t>
      </w:r>
      <w:r>
        <w:rPr>
          <w:rFonts w:hint="eastAsia" w:hAnsi="Informal Roman" w:eastAsia="仿宋_GB2312" w:cs="宋体"/>
          <w:color w:val="000000"/>
          <w:kern w:val="0"/>
          <w:sz w:val="24"/>
          <w:szCs w:val="24"/>
          <w:lang w:eastAsia="zh-CN"/>
        </w:rPr>
        <w:t>农村环境质量</w:t>
      </w:r>
      <w:r>
        <w:rPr>
          <w:rFonts w:hint="eastAsia" w:hAnsi="Informal Roman" w:eastAsia="仿宋_GB2312" w:cs="宋体"/>
          <w:color w:val="000000"/>
          <w:kern w:val="0"/>
          <w:sz w:val="24"/>
          <w:szCs w:val="24"/>
        </w:rPr>
        <w:t>整体提升。</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textAlignment w:val="auto"/>
        <w:rPr>
          <w:rFonts w:hint="eastAsia" w:ascii="黑体" w:hAnsi="黑体" w:eastAsia="黑体" w:cs="黑体"/>
          <w:color w:val="000000"/>
          <w:kern w:val="2"/>
          <w:sz w:val="24"/>
          <w:szCs w:val="24"/>
          <w:lang w:val="en-US" w:eastAsia="zh-CN" w:bidi="ar-SA"/>
        </w:rPr>
      </w:pPr>
      <w:r>
        <w:rPr>
          <w:rFonts w:hint="eastAsia" w:ascii="黑体" w:hAnsi="黑体" w:eastAsia="黑体" w:cs="黑体"/>
          <w:color w:val="000000"/>
          <w:kern w:val="2"/>
          <w:sz w:val="24"/>
          <w:szCs w:val="24"/>
          <w:lang w:val="en-US" w:eastAsia="zh-CN" w:bidi="ar-SA"/>
        </w:rPr>
        <w:t>三、目标任务</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textAlignment w:val="auto"/>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kern w:val="2"/>
          <w:sz w:val="24"/>
          <w:szCs w:val="24"/>
          <w:lang w:val="en-US" w:eastAsia="zh-CN" w:bidi="ar-SA"/>
        </w:rPr>
        <w:t>2019年全面启动全县21个镇农村污水治理工作，力争2020年50%的行政村生活污水得到有效处理。</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textAlignment w:val="auto"/>
        <w:rPr>
          <w:rFonts w:hint="eastAsia" w:ascii="黑体" w:hAnsi="黑体" w:eastAsia="黑体" w:cs="黑体"/>
          <w:color w:val="000000"/>
          <w:kern w:val="2"/>
          <w:sz w:val="24"/>
          <w:szCs w:val="24"/>
          <w:lang w:val="en-US" w:eastAsia="zh-CN" w:bidi="ar-SA"/>
        </w:rPr>
      </w:pPr>
      <w:r>
        <w:rPr>
          <w:rFonts w:hint="eastAsia" w:ascii="黑体" w:hAnsi="黑体" w:eastAsia="黑体" w:cs="黑体"/>
          <w:color w:val="000000"/>
          <w:kern w:val="2"/>
          <w:sz w:val="24"/>
          <w:szCs w:val="24"/>
          <w:lang w:val="en-US" w:eastAsia="zh-CN" w:bidi="ar-SA"/>
        </w:rPr>
        <w:t>四、整治模式和排放标准</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textAlignment w:val="auto"/>
        <w:rPr>
          <w:rFonts w:hint="eastAsia" w:ascii="楷体_GB2312" w:hAnsi="楷体_GB2312" w:eastAsia="楷体_GB2312" w:cs="楷体_GB2312"/>
          <w:color w:val="000000"/>
          <w:kern w:val="2"/>
          <w:sz w:val="24"/>
          <w:szCs w:val="24"/>
          <w:lang w:val="en-US" w:eastAsia="zh-CN" w:bidi="ar-SA"/>
        </w:rPr>
      </w:pPr>
      <w:r>
        <w:rPr>
          <w:rFonts w:hint="eastAsia" w:ascii="楷体_GB2312" w:hAnsi="楷体_GB2312" w:eastAsia="楷体_GB2312" w:cs="楷体_GB2312"/>
          <w:color w:val="000000"/>
          <w:kern w:val="2"/>
          <w:sz w:val="24"/>
          <w:szCs w:val="24"/>
          <w:lang w:val="en-US" w:eastAsia="zh-CN" w:bidi="ar-SA"/>
        </w:rPr>
        <w:t>（一）整治模式</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textAlignment w:val="auto"/>
        <w:rPr>
          <w:rFonts w:hint="eastAsia" w:eastAsia="仿宋_GB2312" w:cs="Times New Roman"/>
          <w:color w:val="000000"/>
          <w:kern w:val="2"/>
          <w:sz w:val="24"/>
          <w:szCs w:val="24"/>
          <w:lang w:val="en-US" w:eastAsia="zh-CN" w:bidi="ar-SA"/>
        </w:rPr>
      </w:pPr>
      <w:r>
        <w:rPr>
          <w:rFonts w:hint="eastAsia" w:eastAsia="仿宋_GB2312" w:cs="Times New Roman"/>
          <w:color w:val="000000"/>
          <w:kern w:val="2"/>
          <w:sz w:val="24"/>
          <w:szCs w:val="24"/>
          <w:lang w:val="en-US" w:eastAsia="zh-CN" w:bidi="ar-SA"/>
        </w:rPr>
        <w:t>一般区域，污水处理以“厌氧+人工湿地”工艺为主；在环境容量低、区域敏感地方，以一体化污水处理工艺为主。</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textAlignment w:val="auto"/>
        <w:rPr>
          <w:rFonts w:hint="eastAsia" w:ascii="楷体_GB2312" w:hAnsi="楷体_GB2312" w:eastAsia="楷体_GB2312" w:cs="楷体_GB2312"/>
          <w:color w:val="000000"/>
          <w:kern w:val="2"/>
          <w:sz w:val="24"/>
          <w:szCs w:val="24"/>
          <w:lang w:val="en-US" w:eastAsia="zh-CN" w:bidi="ar-SA"/>
        </w:rPr>
      </w:pPr>
      <w:r>
        <w:rPr>
          <w:rFonts w:hint="eastAsia" w:ascii="楷体_GB2312" w:hAnsi="楷体_GB2312" w:eastAsia="楷体_GB2312" w:cs="楷体_GB2312"/>
          <w:color w:val="000000"/>
          <w:kern w:val="2"/>
          <w:sz w:val="24"/>
          <w:szCs w:val="24"/>
          <w:lang w:val="en-US" w:eastAsia="zh-CN" w:bidi="ar-SA"/>
        </w:rPr>
        <w:t>（二）排放标准</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textAlignment w:val="auto"/>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kern w:val="2"/>
          <w:sz w:val="24"/>
          <w:szCs w:val="24"/>
          <w:lang w:val="en-US" w:eastAsia="zh-CN" w:bidi="ar-SA"/>
        </w:rPr>
        <w:t>1.一类污水排放标准。居民适度分散或集中安置区，种植业发达，距离河流、小溪较远。居民适度分散的卫生间污水经沼气池或化粪池处理后，用于农作物灌溉，厨房、洗衣等生活废水经沉淀、人工湿地后排放，参照执行《城镇污水处理厂污染物排放标准》（GB18918-2002）三级标准；集中安置区的污水进入大型三格化粪池，充分灌溉农作物，余下的污水再经过厌氧、人工湿地后排放，参照执行《城镇污水处理厂污染物排放标准》（GB18918-2002）三级标准。</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textAlignment w:val="auto"/>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kern w:val="2"/>
          <w:sz w:val="24"/>
          <w:szCs w:val="24"/>
          <w:lang w:val="en-US" w:eastAsia="zh-CN" w:bidi="ar-SA"/>
        </w:rPr>
        <w:t>2.二类污水排放标准。居民适度分散，种植业发达，排入小溪的。卫生间污水经沼气池或化粪池处理后，用于农作物灌溉，厨房、洗衣等生活废水经沉淀、厌氧、人工湿地（氧化塘）后排放，参照执行《城镇污水处理厂污染物排放标准》（GB18918-2002）二级标准；</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textAlignment w:val="auto"/>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kern w:val="2"/>
          <w:sz w:val="24"/>
          <w:szCs w:val="24"/>
          <w:lang w:val="en-US" w:eastAsia="zh-CN" w:bidi="ar-SA"/>
        </w:rPr>
        <w:t>3.三类污水排放标准。居民集中，种植业欠发达，污水排入我县18条纳入河长制管理的河流，采取分散处理和集中处理相结合，能集中收集的废水采取沉淀、厌氧、微动力一体化污水处理设施处理后排放，参照执行《城镇污水处理厂污染物排放标准》（GB18918-2002）一级B标准,有条件的可执行一级A标准。</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textAlignment w:val="auto"/>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kern w:val="2"/>
          <w:sz w:val="24"/>
          <w:szCs w:val="24"/>
          <w:lang w:val="en-US" w:eastAsia="zh-CN" w:bidi="ar-SA"/>
        </w:rPr>
        <w:t>待《四川省农村生活污水处理排放标准》出台后，按照该标准执行。</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textAlignment w:val="auto"/>
        <w:rPr>
          <w:rFonts w:hint="eastAsia" w:ascii="黑体" w:hAnsi="黑体" w:eastAsia="黑体" w:cs="黑体"/>
          <w:color w:val="000000"/>
          <w:kern w:val="2"/>
          <w:sz w:val="24"/>
          <w:szCs w:val="24"/>
          <w:lang w:val="en-US" w:eastAsia="zh-CN" w:bidi="ar-SA"/>
        </w:rPr>
      </w:pPr>
      <w:r>
        <w:rPr>
          <w:rFonts w:hint="eastAsia" w:ascii="黑体" w:hAnsi="黑体" w:eastAsia="黑体" w:cs="黑体"/>
          <w:color w:val="000000"/>
          <w:kern w:val="2"/>
          <w:sz w:val="24"/>
          <w:szCs w:val="24"/>
          <w:lang w:val="en-US" w:eastAsia="zh-CN" w:bidi="ar-SA"/>
        </w:rPr>
        <w:t>五、保障措施</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textAlignment w:val="auto"/>
        <w:rPr>
          <w:rFonts w:hint="eastAsia" w:eastAsia="仿宋_GB2312" w:cs="Times New Roman"/>
          <w:color w:val="000000"/>
          <w:kern w:val="2"/>
          <w:sz w:val="24"/>
          <w:szCs w:val="24"/>
          <w:lang w:val="en-US" w:eastAsia="zh-CN" w:bidi="ar-SA"/>
        </w:rPr>
      </w:pPr>
      <w:r>
        <w:rPr>
          <w:rFonts w:hint="eastAsia" w:ascii="楷体_GB2312" w:hAnsi="楷体_GB2312" w:eastAsia="楷体_GB2312" w:cs="楷体_GB2312"/>
          <w:color w:val="000000"/>
          <w:kern w:val="2"/>
          <w:sz w:val="24"/>
          <w:szCs w:val="24"/>
          <w:lang w:val="en-US" w:eastAsia="zh-CN" w:bidi="ar-SA"/>
        </w:rPr>
        <w:t>（一）加强组织领导。</w:t>
      </w:r>
      <w:r>
        <w:rPr>
          <w:rFonts w:hint="eastAsia" w:ascii="仿宋_GB2312" w:hAnsi="仿宋_GB2312" w:eastAsia="仿宋_GB2312" w:cs="仿宋_GB2312"/>
          <w:sz w:val="24"/>
          <w:szCs w:val="24"/>
          <w:lang w:val="en-US" w:eastAsia="zh-CN"/>
        </w:rPr>
        <w:t>构建县、镇、村三级联动体系，跨部门联动管理机制，县直各有关部门要加强协调配合，整合资源、共享信息，形成工作合力，落实各方责任，建立健全农村生态环境管理、环保设施运行维护机制。各镇人民政府作为农村人居环境整治的实施主体和责任主体，要制定辖区农村人居环境整治污水治理方案，认真制定并逐步完善农村人居环境整治政策措施和实施办法，推动各项工作有序开展。</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textAlignment w:val="auto"/>
        <w:rPr>
          <w:rFonts w:hint="eastAsia" w:eastAsia="仿宋_GB2312" w:cs="Times New Roman"/>
          <w:color w:val="000000"/>
          <w:kern w:val="2"/>
          <w:sz w:val="24"/>
          <w:szCs w:val="24"/>
          <w:lang w:val="en-US" w:eastAsia="zh-CN" w:bidi="ar-SA"/>
        </w:rPr>
      </w:pPr>
      <w:r>
        <w:rPr>
          <w:rFonts w:hint="eastAsia" w:ascii="楷体_GB2312" w:hAnsi="楷体_GB2312" w:eastAsia="楷体_GB2312" w:cs="楷体_GB2312"/>
          <w:color w:val="000000"/>
          <w:kern w:val="2"/>
          <w:sz w:val="24"/>
          <w:szCs w:val="24"/>
          <w:lang w:val="en-US" w:eastAsia="zh-CN" w:bidi="ar-SA"/>
        </w:rPr>
        <w:t>（二）加强技术指导。</w:t>
      </w:r>
      <w:r>
        <w:rPr>
          <w:rFonts w:hint="eastAsia" w:eastAsia="仿宋_GB2312" w:cs="Times New Roman"/>
          <w:color w:val="000000"/>
          <w:kern w:val="2"/>
          <w:sz w:val="24"/>
          <w:szCs w:val="24"/>
          <w:lang w:val="en-US" w:eastAsia="zh-CN" w:bidi="ar-SA"/>
        </w:rPr>
        <w:t>县生态环境局作为农村污水治理的牵头部门，要加强农村污水治理过程中技术指导，确保全县污水治理成效。</w:t>
      </w:r>
    </w:p>
    <w:p>
      <w:pPr>
        <w:keepNext w:val="0"/>
        <w:keepLines w:val="0"/>
        <w:pageBreakBefore w:val="0"/>
        <w:widowControl w:val="0"/>
        <w:kinsoku/>
        <w:wordWrap/>
        <w:overflowPunct/>
        <w:topLinePunct w:val="0"/>
        <w:autoSpaceDE/>
        <w:autoSpaceDN/>
        <w:bidi w:val="0"/>
        <w:adjustRightInd w:val="0"/>
        <w:snapToGrid/>
        <w:spacing w:line="336" w:lineRule="auto"/>
        <w:ind w:firstLine="480" w:firstLineChars="200"/>
        <w:jc w:val="left"/>
        <w:textAlignment w:val="auto"/>
        <w:rPr>
          <w:rFonts w:hint="eastAsia" w:eastAsia="仿宋_GB2312" w:cs="Times New Roman"/>
          <w:color w:val="000000"/>
          <w:kern w:val="2"/>
          <w:sz w:val="24"/>
          <w:szCs w:val="24"/>
          <w:lang w:val="en-US" w:eastAsia="zh-CN" w:bidi="ar-SA"/>
        </w:rPr>
      </w:pPr>
      <w:r>
        <w:rPr>
          <w:rFonts w:hint="eastAsia" w:ascii="楷体_GB2312" w:hAnsi="楷体_GB2312" w:eastAsia="楷体_GB2312" w:cs="楷体_GB2312"/>
          <w:color w:val="000000"/>
          <w:kern w:val="2"/>
          <w:sz w:val="24"/>
          <w:szCs w:val="24"/>
          <w:lang w:val="en-US" w:eastAsia="zh-CN" w:bidi="ar-SA"/>
        </w:rPr>
        <w:t>（三）加强运维管理。</w:t>
      </w:r>
      <w:r>
        <w:rPr>
          <w:rFonts w:hint="eastAsia" w:ascii="仿宋_GB2312" w:hAnsi="仿宋_GB2312" w:eastAsia="仿宋_GB2312" w:cs="仿宋_GB2312"/>
          <w:sz w:val="24"/>
          <w:szCs w:val="24"/>
          <w:lang w:eastAsia="zh-CN"/>
        </w:rPr>
        <w:t>由各</w:t>
      </w:r>
      <w:r>
        <w:rPr>
          <w:rFonts w:hint="eastAsia" w:ascii="仿宋_GB2312" w:hAnsi="仿宋_GB2312" w:eastAsia="仿宋_GB2312" w:cs="仿宋_GB2312"/>
          <w:sz w:val="24"/>
          <w:szCs w:val="24"/>
          <w:lang w:val="en-US" w:eastAsia="zh-CN"/>
        </w:rPr>
        <w:t>镇人民</w:t>
      </w:r>
      <w:r>
        <w:rPr>
          <w:rFonts w:hint="eastAsia" w:ascii="仿宋_GB2312" w:hAnsi="仿宋_GB2312" w:eastAsia="仿宋_GB2312" w:cs="仿宋_GB2312"/>
          <w:sz w:val="24"/>
          <w:szCs w:val="24"/>
          <w:lang w:eastAsia="zh-CN"/>
        </w:rPr>
        <w:t>政府负责制定污水处理设施日常管理、经费保障等运维措施，各</w:t>
      </w:r>
      <w:r>
        <w:rPr>
          <w:rFonts w:hint="eastAsia" w:ascii="仿宋_GB2312" w:hAnsi="仿宋_GB2312" w:eastAsia="仿宋_GB2312" w:cs="仿宋_GB2312"/>
          <w:sz w:val="24"/>
          <w:szCs w:val="24"/>
          <w:lang w:val="en-US" w:eastAsia="zh-CN"/>
        </w:rPr>
        <w:t>镇人民</w:t>
      </w:r>
      <w:r>
        <w:rPr>
          <w:rFonts w:hint="eastAsia" w:ascii="仿宋_GB2312" w:hAnsi="仿宋_GB2312" w:eastAsia="仿宋_GB2312" w:cs="仿宋_GB2312"/>
          <w:sz w:val="24"/>
          <w:szCs w:val="24"/>
          <w:lang w:eastAsia="zh-CN"/>
        </w:rPr>
        <w:t>政府负责监督日常运行，村委会负责日常管理。</w:t>
      </w:r>
    </w:p>
    <w:p>
      <w:pPr>
        <w:keepNext w:val="0"/>
        <w:keepLines w:val="0"/>
        <w:pageBreakBefore w:val="0"/>
        <w:widowControl w:val="0"/>
        <w:kinsoku/>
        <w:wordWrap/>
        <w:overflowPunct/>
        <w:topLinePunct w:val="0"/>
        <w:autoSpaceDE/>
        <w:autoSpaceDN/>
        <w:bidi w:val="0"/>
        <w:adjustRightInd w:val="0"/>
        <w:snapToGrid/>
        <w:spacing w:line="336" w:lineRule="auto"/>
        <w:ind w:firstLine="480" w:firstLineChars="200"/>
        <w:jc w:val="left"/>
        <w:textAlignment w:val="auto"/>
        <w:rPr>
          <w:rFonts w:hint="eastAsia" w:ascii="仿宋_GB2312" w:hAnsi="仿宋_GB2312" w:eastAsia="仿宋_GB2312" w:cs="仿宋_GB2312"/>
          <w:sz w:val="24"/>
          <w:szCs w:val="24"/>
        </w:rPr>
      </w:pPr>
      <w:r>
        <w:rPr>
          <w:rFonts w:hint="eastAsia" w:ascii="楷体_GB2312" w:hAnsi="楷体_GB2312" w:eastAsia="楷体_GB2312" w:cs="楷体_GB2312"/>
          <w:color w:val="000000"/>
          <w:kern w:val="2"/>
          <w:sz w:val="24"/>
          <w:szCs w:val="24"/>
          <w:lang w:val="en-US" w:eastAsia="zh-CN" w:bidi="ar-SA"/>
        </w:rPr>
        <w:t>（四）加强环保宣传。</w:t>
      </w:r>
      <w:r>
        <w:rPr>
          <w:rFonts w:hint="eastAsia" w:ascii="仿宋_GB2312" w:hAnsi="仿宋_GB2312" w:eastAsia="仿宋_GB2312" w:cs="仿宋_GB2312"/>
          <w:sz w:val="24"/>
          <w:szCs w:val="24"/>
        </w:rPr>
        <w:t>充分利用村镇广播、电视、公益广告、各类演出活动普及环境保护知识，做到垃圾不乱倒、粪土不乱堆、污水不乱流</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群策群力，营造一个良好的氛围来感染、激励和引导人们，使人们的思想意识、法律道德观念，行为规范与环境、经济、社会协调发展相适应。</w:t>
      </w:r>
    </w:p>
    <w:p>
      <w:pPr>
        <w:keepNext w:val="0"/>
        <w:keepLines w:val="0"/>
        <w:pageBreakBefore w:val="0"/>
        <w:kinsoku/>
        <w:wordWrap/>
        <w:overflowPunct/>
        <w:topLinePunct w:val="0"/>
        <w:autoSpaceDE/>
        <w:autoSpaceDN/>
        <w:bidi w:val="0"/>
        <w:adjustRightInd/>
        <w:snapToGrid/>
        <w:spacing w:line="640" w:lineRule="exact"/>
        <w:jc w:val="center"/>
        <w:rPr>
          <w:rFonts w:hint="eastAsia" w:ascii="宋体" w:hAnsi="宋体" w:eastAsia="方正小标宋简体" w:cs="宋体"/>
          <w:b w:val="0"/>
          <w:bCs w:val="0"/>
          <w:color w:val="auto"/>
          <w:sz w:val="24"/>
          <w:szCs w:val="24"/>
          <w:shd w:val="clear" w:color="auto" w:fill="auto"/>
          <w:lang w:eastAsia="zh-CN"/>
        </w:rPr>
      </w:pPr>
    </w:p>
    <w:p>
      <w:pPr>
        <w:pStyle w:val="2"/>
        <w:rPr>
          <w:rFonts w:hint="eastAsia" w:ascii="宋体" w:hAnsi="宋体" w:eastAsia="方正小标宋简体" w:cs="宋体"/>
          <w:b w:val="0"/>
          <w:bCs w:val="0"/>
          <w:color w:val="auto"/>
          <w:sz w:val="24"/>
          <w:szCs w:val="24"/>
          <w:shd w:val="clear" w:color="auto" w:fill="auto"/>
          <w:lang w:eastAsia="zh-CN"/>
        </w:rPr>
      </w:pPr>
    </w:p>
    <w:p>
      <w:pPr>
        <w:pStyle w:val="3"/>
        <w:rPr>
          <w:rFonts w:hint="eastAsia"/>
          <w:sz w:val="24"/>
          <w:szCs w:val="24"/>
          <w:lang w:eastAsia="zh-CN"/>
        </w:rPr>
      </w:pPr>
    </w:p>
    <w:p>
      <w:pPr>
        <w:spacing w:line="560" w:lineRule="exact"/>
        <w:ind w:left="0" w:leftChars="0" w:firstLine="0" w:firstLineChars="0"/>
        <w:jc w:val="left"/>
        <w:rPr>
          <w:rFonts w:hint="eastAsia" w:ascii="宋体" w:hAnsi="宋体" w:eastAsia="仿宋_GB2312" w:cs="宋体"/>
          <w:b w:val="0"/>
          <w:bCs w:val="0"/>
          <w:sz w:val="24"/>
          <w:szCs w:val="24"/>
          <w:lang w:eastAsia="zh-CN"/>
        </w:rPr>
      </w:pPr>
      <w:r>
        <w:rPr>
          <w:rFonts w:hint="eastAsia" w:ascii="宋体" w:hAnsi="宋体" w:eastAsia="仿宋_GB2312" w:cs="宋体"/>
          <w:b w:val="0"/>
          <w:bCs w:val="0"/>
          <w:sz w:val="24"/>
          <w:szCs w:val="24"/>
        </w:rPr>
        <w:t>附件</w:t>
      </w:r>
      <w:r>
        <w:rPr>
          <w:rFonts w:hint="eastAsia" w:ascii="宋体" w:hAnsi="宋体" w:eastAsia="仿宋_GB2312" w:cs="宋体"/>
          <w:b w:val="0"/>
          <w:bCs w:val="0"/>
          <w:sz w:val="24"/>
          <w:szCs w:val="24"/>
          <w:lang w:val="en-US" w:eastAsia="zh-CN"/>
        </w:rPr>
        <w:t>7</w:t>
      </w:r>
    </w:p>
    <w:p>
      <w:pPr>
        <w:pStyle w:val="3"/>
        <w:rPr>
          <w:rFonts w:hint="eastAsia" w:ascii="宋体" w:hAnsi="宋体" w:eastAsia="方正小标宋简体" w:cs="宋体"/>
          <w:b w:val="0"/>
          <w:bCs w:val="0"/>
          <w:sz w:val="24"/>
          <w:szCs w:val="24"/>
          <w:lang w:eastAsia="zh-CN"/>
        </w:rPr>
      </w:pPr>
    </w:p>
    <w:p>
      <w:pPr>
        <w:rPr>
          <w:rFonts w:hint="eastAsia" w:ascii="宋体" w:hAnsi="宋体" w:eastAsia="方正小标宋简体" w:cs="宋体"/>
          <w:b w:val="0"/>
          <w:bCs w:val="0"/>
          <w:sz w:val="24"/>
          <w:szCs w:val="24"/>
          <w:lang w:eastAsia="zh-CN"/>
        </w:rPr>
      </w:pPr>
    </w:p>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宋体" w:hAnsi="宋体" w:eastAsia="方正小标宋简体" w:cs="宋体"/>
          <w:b w:val="0"/>
          <w:bCs w:val="0"/>
          <w:color w:val="auto"/>
          <w:sz w:val="24"/>
          <w:szCs w:val="24"/>
          <w:shd w:val="clear" w:color="auto" w:fill="auto"/>
          <w:lang w:eastAsia="zh-CN"/>
        </w:rPr>
      </w:pPr>
      <w:r>
        <w:rPr>
          <w:rFonts w:hint="eastAsia" w:ascii="宋体" w:hAnsi="宋体" w:eastAsia="方正小标宋简体" w:cs="宋体"/>
          <w:b w:val="0"/>
          <w:bCs w:val="0"/>
          <w:sz w:val="24"/>
          <w:szCs w:val="24"/>
          <w:lang w:eastAsia="zh-CN"/>
        </w:rPr>
        <w:t>射洪</w:t>
      </w:r>
      <w:r>
        <w:rPr>
          <w:rFonts w:hint="eastAsia" w:ascii="宋体" w:hAnsi="宋体" w:eastAsia="方正小标宋简体" w:cs="宋体"/>
          <w:b w:val="0"/>
          <w:bCs w:val="0"/>
          <w:sz w:val="24"/>
          <w:szCs w:val="24"/>
          <w:lang w:val="en-US" w:eastAsia="zh-CN"/>
        </w:rPr>
        <w:t>市</w:t>
      </w:r>
      <w:r>
        <w:rPr>
          <w:rFonts w:hint="eastAsia" w:ascii="宋体" w:hAnsi="宋体" w:eastAsia="方正小标宋简体" w:cs="宋体"/>
          <w:b w:val="0"/>
          <w:bCs w:val="0"/>
          <w:color w:val="auto"/>
          <w:sz w:val="24"/>
          <w:szCs w:val="24"/>
          <w:shd w:val="clear" w:color="auto" w:fill="auto"/>
        </w:rPr>
        <w:t>农村</w:t>
      </w:r>
      <w:r>
        <w:rPr>
          <w:rFonts w:hint="eastAsia" w:ascii="宋体" w:hAnsi="宋体" w:eastAsia="方正小标宋简体" w:cs="宋体"/>
          <w:b w:val="0"/>
          <w:bCs w:val="0"/>
          <w:color w:val="auto"/>
          <w:sz w:val="24"/>
          <w:szCs w:val="24"/>
          <w:shd w:val="clear" w:color="auto" w:fill="auto"/>
          <w:lang w:eastAsia="zh-CN"/>
        </w:rPr>
        <w:t>人居环境整治“垃圾革命”工作</w:t>
      </w:r>
      <w:r>
        <w:rPr>
          <w:rFonts w:hint="eastAsia" w:ascii="宋体" w:hAnsi="宋体" w:eastAsia="方正小标宋简体" w:cs="宋体"/>
          <w:b w:val="0"/>
          <w:bCs w:val="0"/>
          <w:color w:val="auto"/>
          <w:sz w:val="24"/>
          <w:szCs w:val="24"/>
          <w:shd w:val="clear" w:color="auto" w:fill="auto"/>
        </w:rPr>
        <w:t>方案</w:t>
      </w:r>
    </w:p>
    <w:p>
      <w:pPr>
        <w:keepNext w:val="0"/>
        <w:keepLines w:val="0"/>
        <w:pageBreakBefore w:val="0"/>
        <w:widowControl/>
        <w:kinsoku/>
        <w:wordWrap/>
        <w:overflowPunct/>
        <w:topLinePunct w:val="0"/>
        <w:autoSpaceDE/>
        <w:autoSpaceDN/>
        <w:bidi w:val="0"/>
        <w:adjustRightInd/>
        <w:snapToGrid/>
        <w:spacing w:line="540" w:lineRule="exact"/>
        <w:jc w:val="left"/>
        <w:textAlignment w:val="center"/>
        <w:rPr>
          <w:rFonts w:hint="eastAsia" w:ascii="宋体" w:hAnsi="宋体" w:eastAsia="仿宋" w:cs="宋体"/>
          <w:b w:val="0"/>
          <w:bCs w:val="0"/>
          <w:color w:val="auto"/>
          <w:kern w:val="0"/>
          <w:sz w:val="24"/>
          <w:szCs w:val="24"/>
          <w:shd w:val="clear" w:color="auto" w:fill="auto"/>
          <w:lang w:eastAsia="zh-CN"/>
        </w:rPr>
      </w:pPr>
    </w:p>
    <w:p>
      <w:pPr>
        <w:keepNext w:val="0"/>
        <w:keepLines w:val="0"/>
        <w:pageBreakBefore w:val="0"/>
        <w:widowControl/>
        <w:kinsoku/>
        <w:wordWrap/>
        <w:overflowPunct/>
        <w:topLinePunct w:val="0"/>
        <w:autoSpaceDE/>
        <w:autoSpaceDN/>
        <w:bidi w:val="0"/>
        <w:adjustRightInd w:val="0"/>
        <w:snapToGrid w:val="0"/>
        <w:spacing w:line="336" w:lineRule="auto"/>
        <w:ind w:firstLine="640"/>
        <w:jc w:val="left"/>
        <w:textAlignment w:val="center"/>
        <w:rPr>
          <w:rFonts w:hint="eastAsia" w:ascii="仿宋_GB2312" w:hAnsi="仿宋_GB2312" w:eastAsia="仿宋_GB2312" w:cs="仿宋_GB2312"/>
          <w:b w:val="0"/>
          <w:bCs w:val="0"/>
          <w:color w:val="auto"/>
          <w:kern w:val="0"/>
          <w:sz w:val="24"/>
          <w:szCs w:val="24"/>
          <w:shd w:val="clear" w:color="auto" w:fill="auto"/>
        </w:rPr>
      </w:pPr>
      <w:r>
        <w:rPr>
          <w:rFonts w:hint="eastAsia" w:ascii="仿宋_GB2312" w:hAnsi="仿宋_GB2312" w:eastAsia="仿宋_GB2312" w:cs="仿宋_GB2312"/>
          <w:b w:val="0"/>
          <w:bCs w:val="0"/>
          <w:color w:val="auto"/>
          <w:kern w:val="0"/>
          <w:sz w:val="24"/>
          <w:szCs w:val="24"/>
          <w:shd w:val="clear" w:color="auto" w:fill="auto"/>
        </w:rPr>
        <w:t>为深入推进我</w:t>
      </w:r>
      <w:r>
        <w:rPr>
          <w:rFonts w:hint="eastAsia" w:ascii="仿宋_GB2312" w:hAnsi="仿宋_GB2312" w:eastAsia="仿宋_GB2312" w:cs="仿宋_GB2312"/>
          <w:b w:val="0"/>
          <w:bCs w:val="0"/>
          <w:color w:val="auto"/>
          <w:kern w:val="0"/>
          <w:sz w:val="24"/>
          <w:szCs w:val="24"/>
          <w:shd w:val="clear" w:color="auto" w:fill="auto"/>
          <w:lang w:eastAsia="zh-CN"/>
        </w:rPr>
        <w:t>县农村</w:t>
      </w:r>
      <w:r>
        <w:rPr>
          <w:rFonts w:hint="eastAsia" w:ascii="仿宋_GB2312" w:hAnsi="仿宋_GB2312" w:eastAsia="仿宋_GB2312" w:cs="仿宋_GB2312"/>
          <w:b w:val="0"/>
          <w:bCs w:val="0"/>
          <w:color w:val="auto"/>
          <w:kern w:val="0"/>
          <w:sz w:val="24"/>
          <w:szCs w:val="24"/>
          <w:shd w:val="clear" w:color="auto" w:fill="auto"/>
        </w:rPr>
        <w:t>环境综合治理工作，提高人居环境质量和生态文明水平，有序开展生活垃圾处理设施规划、建设、运行和监管工作，进一步提高我</w:t>
      </w:r>
      <w:r>
        <w:rPr>
          <w:rFonts w:hint="eastAsia" w:ascii="仿宋_GB2312" w:hAnsi="仿宋_GB2312" w:eastAsia="仿宋_GB2312" w:cs="仿宋_GB2312"/>
          <w:b w:val="0"/>
          <w:bCs w:val="0"/>
          <w:color w:val="auto"/>
          <w:kern w:val="0"/>
          <w:sz w:val="24"/>
          <w:szCs w:val="24"/>
          <w:shd w:val="clear" w:color="auto" w:fill="auto"/>
          <w:lang w:eastAsia="zh-CN"/>
        </w:rPr>
        <w:t>县</w:t>
      </w:r>
      <w:r>
        <w:rPr>
          <w:rFonts w:hint="eastAsia" w:ascii="仿宋_GB2312" w:hAnsi="仿宋_GB2312" w:eastAsia="仿宋_GB2312" w:cs="仿宋_GB2312"/>
          <w:b w:val="0"/>
          <w:bCs w:val="0"/>
          <w:color w:val="auto"/>
          <w:kern w:val="0"/>
          <w:sz w:val="24"/>
          <w:szCs w:val="24"/>
          <w:shd w:val="clear" w:color="auto" w:fill="auto"/>
        </w:rPr>
        <w:t>农村生活垃圾无害化处理能力，</w:t>
      </w:r>
      <w:r>
        <w:rPr>
          <w:rFonts w:hint="eastAsia" w:ascii="仿宋_GB2312" w:hAnsi="仿宋_GB2312" w:eastAsia="仿宋_GB2312" w:cs="仿宋_GB2312"/>
          <w:b w:val="0"/>
          <w:bCs w:val="0"/>
          <w:color w:val="auto"/>
          <w:kern w:val="0"/>
          <w:sz w:val="24"/>
          <w:szCs w:val="24"/>
          <w:shd w:val="clear" w:color="auto" w:fill="auto"/>
          <w:lang w:eastAsia="zh-CN"/>
        </w:rPr>
        <w:t>结合实际，</w:t>
      </w:r>
      <w:r>
        <w:rPr>
          <w:rFonts w:hint="eastAsia" w:ascii="仿宋_GB2312" w:hAnsi="仿宋_GB2312" w:eastAsia="仿宋_GB2312" w:cs="仿宋_GB2312"/>
          <w:b w:val="0"/>
          <w:bCs w:val="0"/>
          <w:color w:val="auto"/>
          <w:kern w:val="0"/>
          <w:sz w:val="24"/>
          <w:szCs w:val="24"/>
          <w:shd w:val="clear" w:color="auto" w:fill="auto"/>
        </w:rPr>
        <w:t>特制定本方案。</w:t>
      </w:r>
    </w:p>
    <w:p>
      <w:pPr>
        <w:keepNext w:val="0"/>
        <w:keepLines w:val="0"/>
        <w:pageBreakBefore w:val="0"/>
        <w:widowControl/>
        <w:kinsoku/>
        <w:wordWrap/>
        <w:overflowPunct/>
        <w:topLinePunct w:val="0"/>
        <w:autoSpaceDE/>
        <w:autoSpaceDN/>
        <w:bidi w:val="0"/>
        <w:adjustRightInd w:val="0"/>
        <w:snapToGrid w:val="0"/>
        <w:spacing w:line="336" w:lineRule="auto"/>
        <w:ind w:firstLine="643"/>
        <w:jc w:val="left"/>
        <w:textAlignment w:val="center"/>
        <w:rPr>
          <w:rFonts w:hint="eastAsia" w:ascii="黑体" w:hAnsi="黑体" w:eastAsia="黑体" w:cs="黑体"/>
          <w:b w:val="0"/>
          <w:bCs w:val="0"/>
          <w:color w:val="auto"/>
          <w:kern w:val="0"/>
          <w:sz w:val="24"/>
          <w:szCs w:val="24"/>
          <w:shd w:val="clear" w:color="auto" w:fill="auto"/>
        </w:rPr>
      </w:pPr>
      <w:r>
        <w:rPr>
          <w:rFonts w:hint="eastAsia" w:ascii="黑体" w:hAnsi="黑体" w:eastAsia="黑体" w:cs="黑体"/>
          <w:b w:val="0"/>
          <w:bCs w:val="0"/>
          <w:color w:val="auto"/>
          <w:kern w:val="0"/>
          <w:sz w:val="24"/>
          <w:szCs w:val="24"/>
          <w:shd w:val="clear" w:color="auto" w:fill="auto"/>
        </w:rPr>
        <w:t>一、基本原则</w:t>
      </w:r>
    </w:p>
    <w:p>
      <w:pPr>
        <w:keepNext w:val="0"/>
        <w:keepLines w:val="0"/>
        <w:pageBreakBefore w:val="0"/>
        <w:widowControl/>
        <w:kinsoku/>
        <w:wordWrap/>
        <w:overflowPunct/>
        <w:topLinePunct w:val="0"/>
        <w:autoSpaceDE/>
        <w:autoSpaceDN/>
        <w:bidi w:val="0"/>
        <w:adjustRightInd w:val="0"/>
        <w:snapToGrid w:val="0"/>
        <w:spacing w:line="336" w:lineRule="auto"/>
        <w:ind w:firstLine="643"/>
        <w:jc w:val="left"/>
        <w:textAlignment w:val="center"/>
        <w:rPr>
          <w:rFonts w:hint="eastAsia" w:ascii="仿宋_GB2312" w:hAnsi="仿宋_GB2312" w:eastAsia="仿宋_GB2312" w:cs="仿宋_GB2312"/>
          <w:b w:val="0"/>
          <w:bCs w:val="0"/>
          <w:color w:val="auto"/>
          <w:kern w:val="0"/>
          <w:sz w:val="24"/>
          <w:szCs w:val="24"/>
          <w:shd w:val="clear" w:color="auto" w:fill="auto"/>
        </w:rPr>
      </w:pPr>
      <w:r>
        <w:rPr>
          <w:rFonts w:hint="eastAsia" w:ascii="楷体_GB2312" w:hAnsi="楷体_GB2312" w:eastAsia="楷体_GB2312" w:cs="楷体_GB2312"/>
          <w:b w:val="0"/>
          <w:bCs w:val="0"/>
          <w:color w:val="auto"/>
          <w:kern w:val="0"/>
          <w:sz w:val="24"/>
          <w:szCs w:val="24"/>
          <w:shd w:val="clear" w:color="auto" w:fill="auto"/>
        </w:rPr>
        <w:t>（一）改善民生，保护环境原则。</w:t>
      </w:r>
      <w:r>
        <w:rPr>
          <w:rFonts w:hint="eastAsia" w:ascii="仿宋_GB2312" w:hAnsi="仿宋_GB2312" w:eastAsia="仿宋_GB2312" w:cs="仿宋_GB2312"/>
          <w:b w:val="0"/>
          <w:bCs w:val="0"/>
          <w:color w:val="auto"/>
          <w:kern w:val="0"/>
          <w:sz w:val="24"/>
          <w:szCs w:val="24"/>
          <w:shd w:val="clear" w:color="auto" w:fill="auto"/>
        </w:rPr>
        <w:t>围绕改善和提高我</w:t>
      </w:r>
      <w:r>
        <w:rPr>
          <w:rFonts w:hint="eastAsia" w:ascii="仿宋_GB2312" w:hAnsi="仿宋_GB2312" w:eastAsia="仿宋_GB2312" w:cs="仿宋_GB2312"/>
          <w:b w:val="0"/>
          <w:bCs w:val="0"/>
          <w:color w:val="auto"/>
          <w:kern w:val="0"/>
          <w:sz w:val="24"/>
          <w:szCs w:val="24"/>
          <w:shd w:val="clear" w:color="auto" w:fill="auto"/>
          <w:lang w:eastAsia="zh-CN"/>
        </w:rPr>
        <w:t>县农村</w:t>
      </w:r>
      <w:r>
        <w:rPr>
          <w:rFonts w:hint="eastAsia" w:ascii="仿宋_GB2312" w:hAnsi="仿宋_GB2312" w:eastAsia="仿宋_GB2312" w:cs="仿宋_GB2312"/>
          <w:b w:val="0"/>
          <w:bCs w:val="0"/>
          <w:color w:val="auto"/>
          <w:kern w:val="0"/>
          <w:sz w:val="24"/>
          <w:szCs w:val="24"/>
          <w:shd w:val="clear" w:color="auto" w:fill="auto"/>
        </w:rPr>
        <w:t>人居生活环境质量、削减生活垃圾污染、保护环境，开展农村生活垃圾的收运和处理工作，努力构建城乡统筹、能力充足、环保达标的生活垃圾处理体系。</w:t>
      </w:r>
    </w:p>
    <w:p>
      <w:pPr>
        <w:keepNext w:val="0"/>
        <w:keepLines w:val="0"/>
        <w:pageBreakBefore w:val="0"/>
        <w:widowControl/>
        <w:kinsoku/>
        <w:wordWrap/>
        <w:overflowPunct/>
        <w:topLinePunct w:val="0"/>
        <w:autoSpaceDE/>
        <w:autoSpaceDN/>
        <w:bidi w:val="0"/>
        <w:adjustRightInd w:val="0"/>
        <w:snapToGrid w:val="0"/>
        <w:spacing w:line="336" w:lineRule="auto"/>
        <w:ind w:firstLine="643"/>
        <w:jc w:val="left"/>
        <w:textAlignment w:val="center"/>
        <w:rPr>
          <w:rFonts w:hint="eastAsia" w:ascii="仿宋_GB2312" w:hAnsi="仿宋_GB2312" w:eastAsia="仿宋_GB2312" w:cs="仿宋_GB2312"/>
          <w:b w:val="0"/>
          <w:bCs w:val="0"/>
          <w:color w:val="auto"/>
          <w:kern w:val="0"/>
          <w:sz w:val="24"/>
          <w:szCs w:val="24"/>
          <w:shd w:val="clear" w:color="auto" w:fill="auto"/>
        </w:rPr>
      </w:pPr>
      <w:r>
        <w:rPr>
          <w:rFonts w:hint="eastAsia" w:ascii="楷体_GB2312" w:hAnsi="楷体_GB2312" w:eastAsia="楷体_GB2312" w:cs="楷体_GB2312"/>
          <w:b w:val="0"/>
          <w:bCs w:val="0"/>
          <w:color w:val="auto"/>
          <w:kern w:val="0"/>
          <w:sz w:val="24"/>
          <w:szCs w:val="24"/>
          <w:shd w:val="clear" w:color="auto" w:fill="auto"/>
        </w:rPr>
        <w:t>（二）统一规划，因地制宜原则。</w:t>
      </w:r>
      <w:r>
        <w:rPr>
          <w:rFonts w:hint="eastAsia" w:ascii="仿宋_GB2312" w:hAnsi="仿宋_GB2312" w:eastAsia="仿宋_GB2312" w:cs="仿宋_GB2312"/>
          <w:b w:val="0"/>
          <w:bCs w:val="0"/>
          <w:color w:val="auto"/>
          <w:kern w:val="0"/>
          <w:sz w:val="24"/>
          <w:szCs w:val="24"/>
          <w:shd w:val="clear" w:color="auto" w:fill="auto"/>
        </w:rPr>
        <w:t>各村（社区）垃圾处理处置设施由镇治理办结合人口聚集程度、自然地理条件、经济发展水平、生活垃圾成分和性质，统一规划、因地制宜地建设具有污染防治措施的生活垃圾处理设施。</w:t>
      </w:r>
    </w:p>
    <w:p>
      <w:pPr>
        <w:keepNext w:val="0"/>
        <w:keepLines w:val="0"/>
        <w:pageBreakBefore w:val="0"/>
        <w:widowControl/>
        <w:kinsoku/>
        <w:wordWrap/>
        <w:overflowPunct/>
        <w:topLinePunct w:val="0"/>
        <w:autoSpaceDE/>
        <w:autoSpaceDN/>
        <w:bidi w:val="0"/>
        <w:adjustRightInd w:val="0"/>
        <w:snapToGrid w:val="0"/>
        <w:spacing w:line="336" w:lineRule="auto"/>
        <w:ind w:firstLine="643"/>
        <w:jc w:val="left"/>
        <w:textAlignment w:val="center"/>
        <w:rPr>
          <w:rFonts w:hint="eastAsia" w:ascii="仿宋_GB2312" w:hAnsi="仿宋_GB2312" w:eastAsia="仿宋_GB2312" w:cs="仿宋_GB2312"/>
          <w:b w:val="0"/>
          <w:bCs w:val="0"/>
          <w:color w:val="auto"/>
          <w:kern w:val="0"/>
          <w:sz w:val="24"/>
          <w:szCs w:val="24"/>
          <w:shd w:val="clear" w:color="auto" w:fill="auto"/>
        </w:rPr>
      </w:pPr>
      <w:r>
        <w:rPr>
          <w:rFonts w:hint="eastAsia" w:ascii="楷体_GB2312" w:hAnsi="楷体_GB2312" w:eastAsia="楷体_GB2312" w:cs="楷体_GB2312"/>
          <w:b w:val="0"/>
          <w:bCs w:val="0"/>
          <w:color w:val="auto"/>
          <w:kern w:val="0"/>
          <w:sz w:val="24"/>
          <w:szCs w:val="24"/>
          <w:shd w:val="clear" w:color="auto" w:fill="auto"/>
        </w:rPr>
        <w:t>（三）减量化、资源化、无害化原则。</w:t>
      </w:r>
      <w:r>
        <w:rPr>
          <w:rFonts w:hint="eastAsia" w:ascii="仿宋_GB2312" w:hAnsi="仿宋_GB2312" w:eastAsia="仿宋_GB2312" w:cs="仿宋_GB2312"/>
          <w:b w:val="0"/>
          <w:bCs w:val="0"/>
          <w:color w:val="auto"/>
          <w:kern w:val="0"/>
          <w:sz w:val="24"/>
          <w:szCs w:val="24"/>
          <w:shd w:val="clear" w:color="auto" w:fill="auto"/>
        </w:rPr>
        <w:t>农村生活垃圾处理要坚持减量化、资源化、无害化原则，逐步推广垃圾分类收集、分类处置和垃圾资源再利用。</w:t>
      </w:r>
    </w:p>
    <w:p>
      <w:pPr>
        <w:keepNext w:val="0"/>
        <w:keepLines w:val="0"/>
        <w:pageBreakBefore w:val="0"/>
        <w:widowControl/>
        <w:kinsoku/>
        <w:wordWrap/>
        <w:overflowPunct/>
        <w:topLinePunct w:val="0"/>
        <w:autoSpaceDE/>
        <w:autoSpaceDN/>
        <w:bidi w:val="0"/>
        <w:adjustRightInd w:val="0"/>
        <w:snapToGrid w:val="0"/>
        <w:spacing w:line="336" w:lineRule="auto"/>
        <w:ind w:firstLine="643"/>
        <w:jc w:val="left"/>
        <w:textAlignment w:val="center"/>
        <w:rPr>
          <w:rFonts w:hint="eastAsia" w:ascii="黑体" w:hAnsi="黑体" w:eastAsia="黑体" w:cs="黑体"/>
          <w:b w:val="0"/>
          <w:bCs w:val="0"/>
          <w:color w:val="auto"/>
          <w:kern w:val="0"/>
          <w:sz w:val="24"/>
          <w:szCs w:val="24"/>
          <w:shd w:val="clear" w:color="auto" w:fill="auto"/>
        </w:rPr>
      </w:pPr>
      <w:r>
        <w:rPr>
          <w:rFonts w:hint="eastAsia" w:ascii="黑体" w:hAnsi="黑体" w:eastAsia="黑体" w:cs="黑体"/>
          <w:b w:val="0"/>
          <w:bCs w:val="0"/>
          <w:color w:val="auto"/>
          <w:kern w:val="0"/>
          <w:sz w:val="24"/>
          <w:szCs w:val="24"/>
          <w:shd w:val="clear" w:color="auto" w:fill="auto"/>
        </w:rPr>
        <w:t>二、分类标准</w:t>
      </w:r>
    </w:p>
    <w:p>
      <w:pPr>
        <w:keepNext w:val="0"/>
        <w:keepLines w:val="0"/>
        <w:pageBreakBefore w:val="0"/>
        <w:widowControl/>
        <w:kinsoku/>
        <w:wordWrap/>
        <w:overflowPunct/>
        <w:topLinePunct w:val="0"/>
        <w:autoSpaceDE/>
        <w:autoSpaceDN/>
        <w:bidi w:val="0"/>
        <w:adjustRightInd w:val="0"/>
        <w:snapToGrid w:val="0"/>
        <w:spacing w:line="336" w:lineRule="auto"/>
        <w:ind w:firstLine="640"/>
        <w:jc w:val="left"/>
        <w:textAlignment w:val="center"/>
        <w:rPr>
          <w:rFonts w:hint="eastAsia" w:ascii="仿宋_GB2312" w:hAnsi="仿宋_GB2312" w:eastAsia="仿宋_GB2312" w:cs="仿宋_GB2312"/>
          <w:b w:val="0"/>
          <w:bCs w:val="0"/>
          <w:color w:val="auto"/>
          <w:kern w:val="0"/>
          <w:sz w:val="24"/>
          <w:szCs w:val="24"/>
          <w:shd w:val="clear" w:color="auto" w:fill="auto"/>
        </w:rPr>
      </w:pPr>
      <w:r>
        <w:rPr>
          <w:rFonts w:hint="eastAsia" w:ascii="仿宋_GB2312" w:hAnsi="仿宋_GB2312" w:eastAsia="仿宋_GB2312" w:cs="仿宋_GB2312"/>
          <w:b w:val="0"/>
          <w:bCs w:val="0"/>
          <w:color w:val="auto"/>
          <w:kern w:val="0"/>
          <w:sz w:val="24"/>
          <w:szCs w:val="24"/>
          <w:shd w:val="clear" w:color="auto" w:fill="auto"/>
        </w:rPr>
        <w:t>农村生活垃圾分</w:t>
      </w:r>
      <w:r>
        <w:rPr>
          <w:rFonts w:hint="eastAsia" w:ascii="仿宋_GB2312" w:hAnsi="仿宋_GB2312" w:eastAsia="仿宋_GB2312" w:cs="仿宋_GB2312"/>
          <w:b w:val="0"/>
          <w:bCs w:val="0"/>
          <w:color w:val="auto"/>
          <w:kern w:val="0"/>
          <w:sz w:val="24"/>
          <w:szCs w:val="24"/>
          <w:shd w:val="clear" w:color="auto" w:fill="auto"/>
          <w:lang w:val="en-US" w:eastAsia="zh-CN"/>
        </w:rPr>
        <w:t>三</w:t>
      </w:r>
      <w:r>
        <w:rPr>
          <w:rFonts w:hint="eastAsia" w:ascii="仿宋_GB2312" w:hAnsi="仿宋_GB2312" w:eastAsia="仿宋_GB2312" w:cs="仿宋_GB2312"/>
          <w:b w:val="0"/>
          <w:bCs w:val="0"/>
          <w:color w:val="auto"/>
          <w:kern w:val="0"/>
          <w:sz w:val="24"/>
          <w:szCs w:val="24"/>
          <w:shd w:val="clear" w:color="auto" w:fill="auto"/>
        </w:rPr>
        <w:t>类进行处理：</w:t>
      </w:r>
    </w:p>
    <w:p>
      <w:pPr>
        <w:keepNext w:val="0"/>
        <w:keepLines w:val="0"/>
        <w:pageBreakBefore w:val="0"/>
        <w:widowControl/>
        <w:kinsoku/>
        <w:wordWrap/>
        <w:overflowPunct/>
        <w:topLinePunct w:val="0"/>
        <w:autoSpaceDE/>
        <w:autoSpaceDN/>
        <w:bidi w:val="0"/>
        <w:adjustRightInd w:val="0"/>
        <w:snapToGrid w:val="0"/>
        <w:spacing w:line="336" w:lineRule="auto"/>
        <w:ind w:firstLine="640"/>
        <w:jc w:val="left"/>
        <w:textAlignment w:val="center"/>
        <w:rPr>
          <w:rFonts w:hint="eastAsia" w:ascii="仿宋_GB2312" w:hAnsi="仿宋_GB2312" w:eastAsia="仿宋_GB2312" w:cs="仿宋_GB2312"/>
          <w:b w:val="0"/>
          <w:bCs w:val="0"/>
          <w:color w:val="auto"/>
          <w:kern w:val="0"/>
          <w:sz w:val="24"/>
          <w:szCs w:val="24"/>
          <w:shd w:val="clear" w:color="auto" w:fill="auto"/>
          <w:lang w:eastAsia="zh-CN"/>
        </w:rPr>
      </w:pPr>
      <w:r>
        <w:rPr>
          <w:rFonts w:hint="eastAsia" w:ascii="楷体_GB2312" w:hAnsi="楷体_GB2312" w:eastAsia="楷体_GB2312" w:cs="楷体_GB2312"/>
          <w:b w:val="0"/>
          <w:bCs w:val="0"/>
          <w:color w:val="auto"/>
          <w:kern w:val="0"/>
          <w:sz w:val="24"/>
          <w:szCs w:val="24"/>
          <w:shd w:val="clear" w:color="auto" w:fill="auto"/>
        </w:rPr>
        <w:t>一是</w:t>
      </w:r>
      <w:r>
        <w:rPr>
          <w:rFonts w:hint="eastAsia" w:ascii="楷体_GB2312" w:hAnsi="楷体_GB2312" w:eastAsia="楷体_GB2312" w:cs="楷体_GB2312"/>
          <w:b w:val="0"/>
          <w:bCs w:val="0"/>
          <w:color w:val="auto"/>
          <w:kern w:val="0"/>
          <w:sz w:val="24"/>
          <w:szCs w:val="24"/>
          <w:shd w:val="clear" w:color="auto" w:fill="auto"/>
          <w:lang w:eastAsia="zh-CN"/>
        </w:rPr>
        <w:t>可回收垃圾</w:t>
      </w:r>
      <w:r>
        <w:rPr>
          <w:rFonts w:hint="eastAsia" w:ascii="仿宋_GB2312" w:hAnsi="仿宋_GB2312" w:eastAsia="仿宋_GB2312" w:cs="仿宋_GB2312"/>
          <w:b w:val="0"/>
          <w:bCs w:val="0"/>
          <w:color w:val="auto"/>
          <w:kern w:val="0"/>
          <w:sz w:val="24"/>
          <w:szCs w:val="24"/>
          <w:shd w:val="clear" w:color="auto" w:fill="auto"/>
          <w:lang w:eastAsia="zh-CN"/>
        </w:rPr>
        <w:t>：适宜回收和资源利用的垃圾，包括废纸、废塑料、废金属、废包装物、废弃电器电子产品、废玻璃等。</w:t>
      </w:r>
    </w:p>
    <w:p>
      <w:pPr>
        <w:keepNext w:val="0"/>
        <w:keepLines w:val="0"/>
        <w:pageBreakBefore w:val="0"/>
        <w:widowControl/>
        <w:kinsoku/>
        <w:wordWrap/>
        <w:overflowPunct/>
        <w:topLinePunct w:val="0"/>
        <w:autoSpaceDE/>
        <w:autoSpaceDN/>
        <w:bidi w:val="0"/>
        <w:adjustRightInd w:val="0"/>
        <w:snapToGrid w:val="0"/>
        <w:spacing w:line="336" w:lineRule="auto"/>
        <w:ind w:firstLine="640"/>
        <w:jc w:val="left"/>
        <w:textAlignment w:val="center"/>
        <w:rPr>
          <w:rFonts w:hint="eastAsia" w:ascii="仿宋_GB2312" w:hAnsi="仿宋_GB2312" w:eastAsia="仿宋_GB2312" w:cs="仿宋_GB2312"/>
          <w:b w:val="0"/>
          <w:bCs w:val="0"/>
          <w:color w:val="auto"/>
          <w:kern w:val="0"/>
          <w:sz w:val="24"/>
          <w:szCs w:val="24"/>
          <w:shd w:val="clear" w:color="auto" w:fill="auto"/>
          <w:lang w:eastAsia="zh-CN"/>
        </w:rPr>
      </w:pPr>
      <w:r>
        <w:rPr>
          <w:rFonts w:hint="eastAsia" w:ascii="楷体_GB2312" w:hAnsi="楷体_GB2312" w:eastAsia="楷体_GB2312" w:cs="楷体_GB2312"/>
          <w:b w:val="0"/>
          <w:bCs w:val="0"/>
          <w:color w:val="auto"/>
          <w:kern w:val="0"/>
          <w:sz w:val="24"/>
          <w:szCs w:val="24"/>
          <w:shd w:val="clear" w:color="auto" w:fill="auto"/>
          <w:lang w:eastAsia="zh-CN"/>
        </w:rPr>
        <w:t>二是易腐垃圾</w:t>
      </w:r>
      <w:r>
        <w:rPr>
          <w:rFonts w:hint="eastAsia" w:ascii="仿宋_GB2312" w:hAnsi="仿宋_GB2312" w:eastAsia="仿宋_GB2312" w:cs="仿宋_GB2312"/>
          <w:b w:val="0"/>
          <w:bCs w:val="0"/>
          <w:color w:val="auto"/>
          <w:kern w:val="0"/>
          <w:sz w:val="24"/>
          <w:szCs w:val="24"/>
          <w:shd w:val="clear" w:color="auto" w:fill="auto"/>
          <w:lang w:eastAsia="zh-CN"/>
        </w:rPr>
        <w:t>：在普通存放条件下容易腐烂变质的有机物废物，剩</w:t>
      </w:r>
      <w:r>
        <w:rPr>
          <w:rFonts w:hint="eastAsia" w:ascii="仿宋_GB2312" w:hAnsi="仿宋_GB2312" w:eastAsia="仿宋_GB2312" w:cs="仿宋_GB2312"/>
          <w:b w:val="0"/>
          <w:bCs w:val="0"/>
          <w:color w:val="auto"/>
          <w:kern w:val="0"/>
          <w:sz w:val="24"/>
          <w:szCs w:val="24"/>
          <w:shd w:val="clear" w:color="auto" w:fill="auto"/>
        </w:rPr>
        <w:t>菜、剩饭、菜叶、果皮、</w:t>
      </w:r>
      <w:r>
        <w:rPr>
          <w:rFonts w:hint="eastAsia" w:ascii="仿宋_GB2312" w:hAnsi="仿宋_GB2312" w:eastAsia="仿宋_GB2312" w:cs="仿宋_GB2312"/>
          <w:b w:val="0"/>
          <w:bCs w:val="0"/>
          <w:color w:val="auto"/>
          <w:kern w:val="0"/>
          <w:sz w:val="24"/>
          <w:szCs w:val="24"/>
          <w:shd w:val="clear" w:color="auto" w:fill="auto"/>
          <w:lang w:eastAsia="zh-CN"/>
        </w:rPr>
        <w:t>腐肉、碎骨</w:t>
      </w:r>
      <w:r>
        <w:rPr>
          <w:rFonts w:hint="eastAsia" w:ascii="仿宋_GB2312" w:hAnsi="仿宋_GB2312" w:eastAsia="仿宋_GB2312" w:cs="仿宋_GB2312"/>
          <w:b w:val="0"/>
          <w:bCs w:val="0"/>
          <w:color w:val="auto"/>
          <w:kern w:val="0"/>
          <w:sz w:val="24"/>
          <w:szCs w:val="24"/>
          <w:shd w:val="clear" w:color="auto" w:fill="auto"/>
        </w:rPr>
        <w:t>、</w:t>
      </w:r>
      <w:r>
        <w:rPr>
          <w:rFonts w:hint="eastAsia" w:ascii="仿宋_GB2312" w:hAnsi="仿宋_GB2312" w:eastAsia="仿宋_GB2312" w:cs="仿宋_GB2312"/>
          <w:b w:val="0"/>
          <w:bCs w:val="0"/>
          <w:color w:val="auto"/>
          <w:kern w:val="0"/>
          <w:sz w:val="24"/>
          <w:szCs w:val="24"/>
          <w:shd w:val="clear" w:color="auto" w:fill="auto"/>
          <w:lang w:eastAsia="zh-CN"/>
        </w:rPr>
        <w:t>蛋壳、动物内脏、</w:t>
      </w:r>
      <w:r>
        <w:rPr>
          <w:rFonts w:hint="eastAsia" w:ascii="仿宋_GB2312" w:hAnsi="仿宋_GB2312" w:eastAsia="仿宋_GB2312" w:cs="仿宋_GB2312"/>
          <w:b w:val="0"/>
          <w:bCs w:val="0"/>
          <w:color w:val="auto"/>
          <w:kern w:val="0"/>
          <w:sz w:val="24"/>
          <w:szCs w:val="24"/>
          <w:shd w:val="clear" w:color="auto" w:fill="auto"/>
        </w:rPr>
        <w:t>茶渣</w:t>
      </w:r>
      <w:r>
        <w:rPr>
          <w:rFonts w:hint="eastAsia" w:ascii="仿宋_GB2312" w:hAnsi="仿宋_GB2312" w:eastAsia="仿宋_GB2312" w:cs="仿宋_GB2312"/>
          <w:b w:val="0"/>
          <w:bCs w:val="0"/>
          <w:color w:val="auto"/>
          <w:kern w:val="0"/>
          <w:sz w:val="24"/>
          <w:szCs w:val="24"/>
          <w:shd w:val="clear" w:color="auto" w:fill="auto"/>
          <w:lang w:eastAsia="zh-CN"/>
        </w:rPr>
        <w:t>等。</w:t>
      </w:r>
    </w:p>
    <w:p>
      <w:pPr>
        <w:keepNext w:val="0"/>
        <w:keepLines w:val="0"/>
        <w:pageBreakBefore w:val="0"/>
        <w:widowControl/>
        <w:kinsoku/>
        <w:wordWrap/>
        <w:overflowPunct/>
        <w:topLinePunct w:val="0"/>
        <w:autoSpaceDE/>
        <w:autoSpaceDN/>
        <w:bidi w:val="0"/>
        <w:adjustRightInd w:val="0"/>
        <w:snapToGrid w:val="0"/>
        <w:spacing w:line="336" w:lineRule="auto"/>
        <w:ind w:firstLine="640"/>
        <w:jc w:val="left"/>
        <w:textAlignment w:val="center"/>
        <w:rPr>
          <w:rFonts w:hint="eastAsia" w:ascii="仿宋_GB2312" w:hAnsi="仿宋_GB2312" w:eastAsia="仿宋_GB2312" w:cs="仿宋_GB2312"/>
          <w:b w:val="0"/>
          <w:bCs w:val="0"/>
          <w:color w:val="auto"/>
          <w:kern w:val="0"/>
          <w:sz w:val="24"/>
          <w:szCs w:val="24"/>
          <w:shd w:val="clear" w:color="auto" w:fill="auto"/>
          <w:lang w:eastAsia="zh-CN"/>
        </w:rPr>
      </w:pPr>
      <w:r>
        <w:rPr>
          <w:rFonts w:hint="eastAsia" w:ascii="楷体_GB2312" w:hAnsi="楷体_GB2312" w:eastAsia="楷体_GB2312" w:cs="楷体_GB2312"/>
          <w:b w:val="0"/>
          <w:bCs w:val="0"/>
          <w:color w:val="auto"/>
          <w:kern w:val="0"/>
          <w:sz w:val="24"/>
          <w:szCs w:val="24"/>
          <w:shd w:val="clear" w:color="auto" w:fill="auto"/>
          <w:lang w:eastAsia="zh-CN"/>
        </w:rPr>
        <w:t>三是其他垃圾</w:t>
      </w:r>
      <w:r>
        <w:rPr>
          <w:rFonts w:hint="eastAsia" w:ascii="仿宋_GB2312" w:hAnsi="仿宋_GB2312" w:eastAsia="仿宋_GB2312" w:cs="仿宋_GB2312"/>
          <w:b w:val="0"/>
          <w:bCs w:val="0"/>
          <w:color w:val="auto"/>
          <w:kern w:val="0"/>
          <w:sz w:val="24"/>
          <w:szCs w:val="24"/>
          <w:shd w:val="clear" w:color="auto" w:fill="auto"/>
          <w:lang w:eastAsia="zh-CN"/>
        </w:rPr>
        <w:t>：日常生活垃圾中除可回收和易腐垃圾之外的其他垃圾，如使用过的各类卫生纸和餐巾纸、带有塑料或蜡质衬里的纸张、纸盒和一次性用具等。</w:t>
      </w:r>
    </w:p>
    <w:p>
      <w:pPr>
        <w:keepNext w:val="0"/>
        <w:keepLines w:val="0"/>
        <w:pageBreakBefore w:val="0"/>
        <w:widowControl/>
        <w:kinsoku/>
        <w:wordWrap/>
        <w:overflowPunct/>
        <w:topLinePunct w:val="0"/>
        <w:autoSpaceDE/>
        <w:autoSpaceDN/>
        <w:bidi w:val="0"/>
        <w:adjustRightInd w:val="0"/>
        <w:snapToGrid w:val="0"/>
        <w:spacing w:line="336" w:lineRule="auto"/>
        <w:ind w:firstLine="643"/>
        <w:jc w:val="left"/>
        <w:textAlignment w:val="center"/>
        <w:rPr>
          <w:rFonts w:hint="eastAsia" w:ascii="黑体" w:hAnsi="黑体" w:eastAsia="黑体" w:cs="黑体"/>
          <w:b w:val="0"/>
          <w:bCs w:val="0"/>
          <w:color w:val="auto"/>
          <w:kern w:val="0"/>
          <w:sz w:val="24"/>
          <w:szCs w:val="24"/>
          <w:shd w:val="clear" w:color="auto" w:fill="auto"/>
        </w:rPr>
      </w:pPr>
      <w:r>
        <w:rPr>
          <w:rFonts w:hint="eastAsia" w:ascii="黑体" w:hAnsi="黑体" w:eastAsia="黑体" w:cs="黑体"/>
          <w:b w:val="0"/>
          <w:bCs w:val="0"/>
          <w:color w:val="auto"/>
          <w:kern w:val="0"/>
          <w:sz w:val="24"/>
          <w:szCs w:val="24"/>
          <w:shd w:val="clear" w:color="auto" w:fill="auto"/>
        </w:rPr>
        <w:t>三、处理方式</w:t>
      </w:r>
    </w:p>
    <w:p>
      <w:pPr>
        <w:keepNext w:val="0"/>
        <w:keepLines w:val="0"/>
        <w:pageBreakBefore w:val="0"/>
        <w:widowControl/>
        <w:kinsoku/>
        <w:wordWrap/>
        <w:overflowPunct/>
        <w:topLinePunct w:val="0"/>
        <w:autoSpaceDE/>
        <w:autoSpaceDN/>
        <w:bidi w:val="0"/>
        <w:adjustRightInd w:val="0"/>
        <w:snapToGrid w:val="0"/>
        <w:spacing w:line="336" w:lineRule="auto"/>
        <w:ind w:firstLine="643"/>
        <w:jc w:val="left"/>
        <w:textAlignment w:val="center"/>
        <w:rPr>
          <w:rFonts w:hint="eastAsia" w:ascii="楷体_GB2312" w:hAnsi="楷体_GB2312" w:eastAsia="楷体_GB2312" w:cs="楷体_GB2312"/>
          <w:b w:val="0"/>
          <w:bCs w:val="0"/>
          <w:color w:val="auto"/>
          <w:kern w:val="0"/>
          <w:sz w:val="24"/>
          <w:szCs w:val="24"/>
          <w:shd w:val="clear" w:color="auto" w:fill="auto"/>
        </w:rPr>
      </w:pPr>
      <w:r>
        <w:rPr>
          <w:rFonts w:hint="eastAsia" w:ascii="楷体_GB2312" w:hAnsi="楷体_GB2312" w:eastAsia="楷体_GB2312" w:cs="楷体_GB2312"/>
          <w:b w:val="0"/>
          <w:bCs w:val="0"/>
          <w:color w:val="auto"/>
          <w:kern w:val="0"/>
          <w:sz w:val="24"/>
          <w:szCs w:val="24"/>
          <w:shd w:val="clear" w:color="auto" w:fill="auto"/>
          <w:lang w:eastAsia="zh-CN"/>
        </w:rPr>
        <w:t>（一）</w:t>
      </w:r>
      <w:r>
        <w:rPr>
          <w:rFonts w:hint="eastAsia" w:ascii="楷体_GB2312" w:hAnsi="楷体_GB2312" w:eastAsia="楷体_GB2312" w:cs="楷体_GB2312"/>
          <w:b w:val="0"/>
          <w:bCs w:val="0"/>
          <w:color w:val="auto"/>
          <w:kern w:val="0"/>
          <w:sz w:val="24"/>
          <w:szCs w:val="24"/>
          <w:shd w:val="clear" w:color="auto" w:fill="auto"/>
        </w:rPr>
        <w:t>生活垃圾采用户</w:t>
      </w:r>
      <w:r>
        <w:rPr>
          <w:rFonts w:hint="eastAsia" w:ascii="楷体_GB2312" w:hAnsi="楷体_GB2312" w:eastAsia="楷体_GB2312" w:cs="楷体_GB2312"/>
          <w:b w:val="0"/>
          <w:bCs w:val="0"/>
          <w:color w:val="auto"/>
          <w:kern w:val="0"/>
          <w:sz w:val="24"/>
          <w:szCs w:val="24"/>
          <w:shd w:val="clear" w:color="auto" w:fill="auto"/>
          <w:lang w:eastAsia="zh-CN"/>
        </w:rPr>
        <w:t>分类</w:t>
      </w:r>
      <w:r>
        <w:rPr>
          <w:rFonts w:hint="eastAsia" w:ascii="楷体_GB2312" w:hAnsi="楷体_GB2312" w:eastAsia="楷体_GB2312" w:cs="楷体_GB2312"/>
          <w:b w:val="0"/>
          <w:bCs w:val="0"/>
          <w:color w:val="auto"/>
          <w:kern w:val="0"/>
          <w:sz w:val="24"/>
          <w:szCs w:val="24"/>
          <w:shd w:val="clear" w:color="auto" w:fill="auto"/>
        </w:rPr>
        <w:t>、村收集、镇转运、县处理的方式进行处理。</w:t>
      </w:r>
    </w:p>
    <w:p>
      <w:pPr>
        <w:keepNext w:val="0"/>
        <w:keepLines w:val="0"/>
        <w:pageBreakBefore w:val="0"/>
        <w:widowControl/>
        <w:kinsoku/>
        <w:wordWrap/>
        <w:overflowPunct/>
        <w:topLinePunct w:val="0"/>
        <w:autoSpaceDE/>
        <w:autoSpaceDN/>
        <w:bidi w:val="0"/>
        <w:adjustRightInd w:val="0"/>
        <w:snapToGrid w:val="0"/>
        <w:spacing w:line="336" w:lineRule="auto"/>
        <w:ind w:firstLine="643"/>
        <w:jc w:val="left"/>
        <w:textAlignment w:val="center"/>
        <w:rPr>
          <w:rFonts w:hint="eastAsia" w:ascii="仿宋_GB2312" w:hAnsi="仿宋_GB2312" w:eastAsia="仿宋_GB2312" w:cs="仿宋_GB2312"/>
          <w:b w:val="0"/>
          <w:bCs w:val="0"/>
          <w:color w:val="auto"/>
          <w:kern w:val="0"/>
          <w:sz w:val="24"/>
          <w:szCs w:val="24"/>
          <w:shd w:val="clear" w:color="auto" w:fill="auto"/>
          <w:lang w:eastAsia="zh-CN"/>
        </w:rPr>
      </w:pPr>
      <w:r>
        <w:rPr>
          <w:rFonts w:hint="eastAsia" w:ascii="仿宋_GB2312" w:hAnsi="仿宋_GB2312" w:eastAsia="仿宋_GB2312" w:cs="仿宋_GB2312"/>
          <w:b w:val="0"/>
          <w:bCs w:val="0"/>
          <w:color w:val="auto"/>
          <w:kern w:val="0"/>
          <w:sz w:val="24"/>
          <w:szCs w:val="24"/>
          <w:shd w:val="clear" w:color="auto" w:fill="auto"/>
        </w:rPr>
        <w:t>1</w:t>
      </w:r>
      <w:r>
        <w:rPr>
          <w:rFonts w:hint="eastAsia" w:ascii="仿宋_GB2312" w:hAnsi="仿宋_GB2312" w:eastAsia="仿宋_GB2312" w:cs="仿宋_GB2312"/>
          <w:b w:val="0"/>
          <w:bCs w:val="0"/>
          <w:color w:val="auto"/>
          <w:kern w:val="0"/>
          <w:sz w:val="24"/>
          <w:szCs w:val="24"/>
          <w:shd w:val="clear" w:color="auto" w:fill="auto"/>
          <w:lang w:eastAsia="zh-CN"/>
        </w:rPr>
        <w:t>.</w:t>
      </w:r>
      <w:r>
        <w:rPr>
          <w:rFonts w:hint="eastAsia" w:ascii="仿宋_GB2312" w:hAnsi="仿宋_GB2312" w:eastAsia="仿宋_GB2312" w:cs="仿宋_GB2312"/>
          <w:b w:val="0"/>
          <w:bCs w:val="0"/>
          <w:color w:val="auto"/>
          <w:kern w:val="0"/>
          <w:sz w:val="24"/>
          <w:szCs w:val="24"/>
          <w:shd w:val="clear" w:color="auto" w:fill="auto"/>
        </w:rPr>
        <w:t>户</w:t>
      </w:r>
      <w:r>
        <w:rPr>
          <w:rFonts w:hint="eastAsia" w:ascii="仿宋_GB2312" w:hAnsi="仿宋_GB2312" w:eastAsia="仿宋_GB2312" w:cs="仿宋_GB2312"/>
          <w:b w:val="0"/>
          <w:bCs w:val="0"/>
          <w:color w:val="auto"/>
          <w:kern w:val="0"/>
          <w:sz w:val="24"/>
          <w:szCs w:val="24"/>
          <w:shd w:val="clear" w:color="auto" w:fill="auto"/>
          <w:lang w:eastAsia="zh-CN"/>
        </w:rPr>
        <w:t>分类：</w:t>
      </w:r>
      <w:r>
        <w:rPr>
          <w:rFonts w:hint="eastAsia" w:ascii="仿宋_GB2312" w:hAnsi="仿宋_GB2312" w:eastAsia="仿宋_GB2312" w:cs="仿宋_GB2312"/>
          <w:b w:val="0"/>
          <w:bCs w:val="0"/>
          <w:color w:val="auto"/>
          <w:kern w:val="0"/>
          <w:sz w:val="24"/>
          <w:szCs w:val="24"/>
          <w:shd w:val="clear" w:color="auto" w:fill="auto"/>
        </w:rPr>
        <w:t>村民按照生活垃圾分类标准对生活垃圾进行粗分类，</w:t>
      </w:r>
      <w:r>
        <w:rPr>
          <w:rFonts w:hint="eastAsia" w:ascii="仿宋_GB2312" w:hAnsi="仿宋_GB2312" w:eastAsia="仿宋_GB2312" w:cs="仿宋_GB2312"/>
          <w:b w:val="0"/>
          <w:bCs w:val="0"/>
          <w:color w:val="auto"/>
          <w:kern w:val="0"/>
          <w:sz w:val="24"/>
          <w:szCs w:val="24"/>
          <w:shd w:val="clear" w:color="auto" w:fill="auto"/>
          <w:lang w:eastAsia="zh-CN"/>
        </w:rPr>
        <w:t>在每户放置三个垃圾桶，将其分为可回收垃圾、易腐垃圾、其他垃圾。</w:t>
      </w:r>
    </w:p>
    <w:p>
      <w:pPr>
        <w:keepNext w:val="0"/>
        <w:keepLines w:val="0"/>
        <w:pageBreakBefore w:val="0"/>
        <w:widowControl/>
        <w:kinsoku/>
        <w:wordWrap/>
        <w:overflowPunct/>
        <w:topLinePunct w:val="0"/>
        <w:autoSpaceDE/>
        <w:autoSpaceDN/>
        <w:bidi w:val="0"/>
        <w:adjustRightInd w:val="0"/>
        <w:snapToGrid w:val="0"/>
        <w:spacing w:line="336" w:lineRule="auto"/>
        <w:ind w:firstLine="643"/>
        <w:jc w:val="left"/>
        <w:textAlignment w:val="center"/>
        <w:rPr>
          <w:rFonts w:hint="eastAsia" w:ascii="仿宋_GB2312" w:hAnsi="仿宋_GB2312" w:eastAsia="仿宋_GB2312" w:cs="仿宋_GB2312"/>
          <w:b w:val="0"/>
          <w:bCs w:val="0"/>
          <w:color w:val="auto"/>
          <w:kern w:val="0"/>
          <w:sz w:val="24"/>
          <w:szCs w:val="24"/>
          <w:shd w:val="clear" w:color="auto" w:fill="auto"/>
        </w:rPr>
      </w:pPr>
      <w:r>
        <w:rPr>
          <w:rFonts w:hint="eastAsia" w:ascii="仿宋_GB2312" w:hAnsi="仿宋_GB2312" w:eastAsia="仿宋_GB2312" w:cs="仿宋_GB2312"/>
          <w:b w:val="0"/>
          <w:bCs w:val="0"/>
          <w:color w:val="auto"/>
          <w:kern w:val="0"/>
          <w:sz w:val="24"/>
          <w:szCs w:val="24"/>
          <w:shd w:val="clear" w:color="auto" w:fill="auto"/>
          <w:lang w:eastAsia="zh-CN"/>
        </w:rPr>
        <w:t>2.村收集：村</w:t>
      </w:r>
      <w:r>
        <w:rPr>
          <w:rFonts w:hint="eastAsia" w:ascii="仿宋_GB2312" w:hAnsi="仿宋_GB2312" w:eastAsia="仿宋_GB2312" w:cs="仿宋_GB2312"/>
          <w:b w:val="0"/>
          <w:bCs w:val="0"/>
          <w:color w:val="auto"/>
          <w:kern w:val="0"/>
          <w:sz w:val="24"/>
          <w:szCs w:val="24"/>
          <w:shd w:val="clear" w:color="auto" w:fill="auto"/>
        </w:rPr>
        <w:t>保洁员将定点垃圾</w:t>
      </w:r>
      <w:r>
        <w:rPr>
          <w:rFonts w:hint="eastAsia" w:ascii="仿宋_GB2312" w:hAnsi="仿宋_GB2312" w:eastAsia="仿宋_GB2312" w:cs="仿宋_GB2312"/>
          <w:b w:val="0"/>
          <w:bCs w:val="0"/>
          <w:color w:val="auto"/>
          <w:kern w:val="0"/>
          <w:sz w:val="24"/>
          <w:szCs w:val="24"/>
          <w:shd w:val="clear" w:color="auto" w:fill="auto"/>
          <w:lang w:eastAsia="zh-CN"/>
        </w:rPr>
        <w:t>桶</w:t>
      </w:r>
      <w:r>
        <w:rPr>
          <w:rFonts w:hint="eastAsia" w:ascii="仿宋_GB2312" w:hAnsi="仿宋_GB2312" w:eastAsia="仿宋_GB2312" w:cs="仿宋_GB2312"/>
          <w:b w:val="0"/>
          <w:bCs w:val="0"/>
          <w:color w:val="auto"/>
          <w:kern w:val="0"/>
          <w:sz w:val="24"/>
          <w:szCs w:val="24"/>
          <w:shd w:val="clear" w:color="auto" w:fill="auto"/>
        </w:rPr>
        <w:t>的垃圾进行细分类</w:t>
      </w:r>
      <w:r>
        <w:rPr>
          <w:rFonts w:hint="eastAsia" w:ascii="仿宋_GB2312" w:hAnsi="仿宋_GB2312" w:eastAsia="仿宋_GB2312" w:cs="仿宋_GB2312"/>
          <w:b w:val="0"/>
          <w:bCs w:val="0"/>
          <w:color w:val="auto"/>
          <w:kern w:val="0"/>
          <w:sz w:val="24"/>
          <w:szCs w:val="24"/>
          <w:shd w:val="clear" w:color="auto" w:fill="auto"/>
          <w:lang w:eastAsia="zh-CN"/>
        </w:rPr>
        <w:t>收集并转运至镇上的</w:t>
      </w:r>
      <w:r>
        <w:rPr>
          <w:rFonts w:hint="eastAsia" w:ascii="仿宋_GB2312" w:hAnsi="仿宋_GB2312" w:eastAsia="仿宋_GB2312" w:cs="仿宋_GB2312"/>
          <w:b w:val="0"/>
          <w:bCs w:val="0"/>
          <w:color w:val="auto"/>
          <w:kern w:val="0"/>
          <w:sz w:val="24"/>
          <w:szCs w:val="24"/>
          <w:shd w:val="clear" w:color="auto" w:fill="auto"/>
        </w:rPr>
        <w:t>垃圾中转站，可回收垃圾变卖收入作为保洁员额外报酬收入，并负责组上的日常保洁工作。</w:t>
      </w:r>
    </w:p>
    <w:p>
      <w:pPr>
        <w:keepNext w:val="0"/>
        <w:keepLines w:val="0"/>
        <w:pageBreakBefore w:val="0"/>
        <w:widowControl/>
        <w:kinsoku/>
        <w:wordWrap/>
        <w:overflowPunct/>
        <w:topLinePunct w:val="0"/>
        <w:autoSpaceDE/>
        <w:autoSpaceDN/>
        <w:bidi w:val="0"/>
        <w:adjustRightInd w:val="0"/>
        <w:snapToGrid w:val="0"/>
        <w:spacing w:line="336" w:lineRule="auto"/>
        <w:ind w:firstLine="643"/>
        <w:jc w:val="left"/>
        <w:textAlignment w:val="center"/>
        <w:rPr>
          <w:rFonts w:hint="eastAsia" w:ascii="仿宋_GB2312" w:hAnsi="仿宋_GB2312" w:eastAsia="仿宋_GB2312" w:cs="仿宋_GB2312"/>
          <w:b w:val="0"/>
          <w:bCs w:val="0"/>
          <w:color w:val="auto"/>
          <w:kern w:val="0"/>
          <w:sz w:val="24"/>
          <w:szCs w:val="24"/>
          <w:shd w:val="clear" w:color="auto" w:fill="auto"/>
        </w:rPr>
      </w:pPr>
      <w:r>
        <w:rPr>
          <w:rFonts w:hint="eastAsia" w:ascii="仿宋_GB2312" w:hAnsi="仿宋_GB2312" w:eastAsia="仿宋_GB2312" w:cs="仿宋_GB2312"/>
          <w:b w:val="0"/>
          <w:bCs w:val="0"/>
          <w:color w:val="auto"/>
          <w:kern w:val="0"/>
          <w:sz w:val="24"/>
          <w:szCs w:val="24"/>
          <w:shd w:val="clear" w:color="auto" w:fill="auto"/>
          <w:lang w:val="en-US" w:eastAsia="zh-CN"/>
        </w:rPr>
        <w:t>3</w:t>
      </w:r>
      <w:r>
        <w:rPr>
          <w:rFonts w:hint="eastAsia" w:ascii="仿宋_GB2312" w:hAnsi="仿宋_GB2312" w:eastAsia="仿宋_GB2312" w:cs="仿宋_GB2312"/>
          <w:b w:val="0"/>
          <w:bCs w:val="0"/>
          <w:color w:val="auto"/>
          <w:kern w:val="0"/>
          <w:sz w:val="24"/>
          <w:szCs w:val="24"/>
          <w:shd w:val="clear" w:color="auto" w:fill="auto"/>
          <w:lang w:eastAsia="zh-CN"/>
        </w:rPr>
        <w:t>.</w:t>
      </w:r>
      <w:r>
        <w:rPr>
          <w:rFonts w:hint="eastAsia" w:ascii="仿宋_GB2312" w:hAnsi="仿宋_GB2312" w:eastAsia="仿宋_GB2312" w:cs="仿宋_GB2312"/>
          <w:b w:val="0"/>
          <w:bCs w:val="0"/>
          <w:color w:val="auto"/>
          <w:kern w:val="0"/>
          <w:sz w:val="24"/>
          <w:szCs w:val="24"/>
          <w:shd w:val="clear" w:color="auto" w:fill="auto"/>
        </w:rPr>
        <w:t>镇转运。镇对垃圾中转站内生活垃圾转运至垃圾填埋场按无害化标准，规范集中填埋处理</w:t>
      </w:r>
    </w:p>
    <w:p>
      <w:pPr>
        <w:keepNext w:val="0"/>
        <w:keepLines w:val="0"/>
        <w:pageBreakBefore w:val="0"/>
        <w:widowControl/>
        <w:kinsoku/>
        <w:wordWrap/>
        <w:overflowPunct/>
        <w:topLinePunct w:val="0"/>
        <w:autoSpaceDE/>
        <w:autoSpaceDN/>
        <w:bidi w:val="0"/>
        <w:adjustRightInd w:val="0"/>
        <w:snapToGrid w:val="0"/>
        <w:spacing w:line="336" w:lineRule="auto"/>
        <w:ind w:firstLine="643"/>
        <w:jc w:val="left"/>
        <w:textAlignment w:val="center"/>
        <w:rPr>
          <w:rFonts w:hint="eastAsia" w:ascii="仿宋_GB2312" w:hAnsi="仿宋_GB2312" w:eastAsia="仿宋_GB2312" w:cs="仿宋_GB2312"/>
          <w:b w:val="0"/>
          <w:bCs w:val="0"/>
          <w:color w:val="auto"/>
          <w:kern w:val="0"/>
          <w:sz w:val="24"/>
          <w:szCs w:val="24"/>
          <w:shd w:val="clear" w:color="auto" w:fill="auto"/>
        </w:rPr>
      </w:pPr>
      <w:r>
        <w:rPr>
          <w:rFonts w:hint="eastAsia" w:ascii="仿宋_GB2312" w:hAnsi="仿宋_GB2312" w:eastAsia="仿宋_GB2312" w:cs="仿宋_GB2312"/>
          <w:b w:val="0"/>
          <w:bCs w:val="0"/>
          <w:color w:val="auto"/>
          <w:kern w:val="0"/>
          <w:sz w:val="24"/>
          <w:szCs w:val="24"/>
          <w:shd w:val="clear" w:color="auto" w:fill="auto"/>
          <w:lang w:val="en-US" w:eastAsia="zh-CN"/>
        </w:rPr>
        <w:t>4</w:t>
      </w:r>
      <w:r>
        <w:rPr>
          <w:rFonts w:hint="eastAsia" w:ascii="仿宋_GB2312" w:hAnsi="仿宋_GB2312" w:eastAsia="仿宋_GB2312" w:cs="仿宋_GB2312"/>
          <w:b w:val="0"/>
          <w:bCs w:val="0"/>
          <w:color w:val="auto"/>
          <w:kern w:val="0"/>
          <w:sz w:val="24"/>
          <w:szCs w:val="24"/>
          <w:shd w:val="clear" w:color="auto" w:fill="auto"/>
          <w:lang w:eastAsia="zh-CN"/>
        </w:rPr>
        <w:t>.</w:t>
      </w:r>
      <w:r>
        <w:rPr>
          <w:rFonts w:hint="eastAsia" w:ascii="仿宋_GB2312" w:hAnsi="仿宋_GB2312" w:eastAsia="仿宋_GB2312" w:cs="仿宋_GB2312"/>
          <w:b w:val="0"/>
          <w:bCs w:val="0"/>
          <w:color w:val="auto"/>
          <w:kern w:val="0"/>
          <w:sz w:val="24"/>
          <w:szCs w:val="24"/>
          <w:shd w:val="clear" w:color="auto" w:fill="auto"/>
          <w:lang w:val="en-US" w:eastAsia="zh-CN"/>
        </w:rPr>
        <w:t>市</w:t>
      </w:r>
      <w:r>
        <w:rPr>
          <w:rFonts w:hint="eastAsia" w:ascii="仿宋_GB2312" w:hAnsi="仿宋_GB2312" w:eastAsia="仿宋_GB2312" w:cs="仿宋_GB2312"/>
          <w:b w:val="0"/>
          <w:bCs w:val="0"/>
          <w:color w:val="auto"/>
          <w:kern w:val="0"/>
          <w:sz w:val="24"/>
          <w:szCs w:val="24"/>
          <w:shd w:val="clear" w:color="auto" w:fill="auto"/>
        </w:rPr>
        <w:t>处理。县上实行统一标准、统一要求、统一监管，确保垃圾按无害化标准，规范化填埋处理。</w:t>
      </w:r>
    </w:p>
    <w:p>
      <w:pPr>
        <w:keepNext w:val="0"/>
        <w:keepLines w:val="0"/>
        <w:pageBreakBefore w:val="0"/>
        <w:widowControl/>
        <w:kinsoku/>
        <w:wordWrap/>
        <w:overflowPunct/>
        <w:topLinePunct w:val="0"/>
        <w:autoSpaceDE/>
        <w:autoSpaceDN/>
        <w:bidi w:val="0"/>
        <w:adjustRightInd w:val="0"/>
        <w:snapToGrid w:val="0"/>
        <w:spacing w:line="336" w:lineRule="auto"/>
        <w:ind w:firstLine="643"/>
        <w:jc w:val="left"/>
        <w:textAlignment w:val="center"/>
        <w:rPr>
          <w:rFonts w:hint="eastAsia" w:ascii="楷体_GB2312" w:hAnsi="楷体_GB2312" w:eastAsia="楷体_GB2312" w:cs="楷体_GB2312"/>
          <w:b w:val="0"/>
          <w:bCs w:val="0"/>
          <w:color w:val="auto"/>
          <w:kern w:val="0"/>
          <w:sz w:val="24"/>
          <w:szCs w:val="24"/>
          <w:shd w:val="clear" w:color="auto" w:fill="auto"/>
        </w:rPr>
      </w:pPr>
      <w:r>
        <w:rPr>
          <w:rFonts w:hint="eastAsia" w:ascii="楷体_GB2312" w:hAnsi="楷体_GB2312" w:eastAsia="楷体_GB2312" w:cs="楷体_GB2312"/>
          <w:b w:val="0"/>
          <w:bCs w:val="0"/>
          <w:color w:val="auto"/>
          <w:kern w:val="0"/>
          <w:sz w:val="24"/>
          <w:szCs w:val="24"/>
          <w:shd w:val="clear" w:color="auto" w:fill="auto"/>
          <w:lang w:eastAsia="zh-CN"/>
        </w:rPr>
        <w:t>（二）</w:t>
      </w:r>
      <w:r>
        <w:rPr>
          <w:rFonts w:hint="eastAsia" w:ascii="楷体_GB2312" w:hAnsi="楷体_GB2312" w:eastAsia="楷体_GB2312" w:cs="楷体_GB2312"/>
          <w:b w:val="0"/>
          <w:bCs w:val="0"/>
          <w:color w:val="auto"/>
          <w:kern w:val="0"/>
          <w:sz w:val="24"/>
          <w:szCs w:val="24"/>
          <w:shd w:val="clear" w:color="auto" w:fill="auto"/>
        </w:rPr>
        <w:t>健全环卫队伍</w:t>
      </w:r>
    </w:p>
    <w:p>
      <w:pPr>
        <w:keepNext w:val="0"/>
        <w:keepLines w:val="0"/>
        <w:pageBreakBefore w:val="0"/>
        <w:widowControl/>
        <w:kinsoku/>
        <w:wordWrap/>
        <w:overflowPunct/>
        <w:topLinePunct w:val="0"/>
        <w:autoSpaceDE/>
        <w:autoSpaceDN/>
        <w:bidi w:val="0"/>
        <w:adjustRightInd w:val="0"/>
        <w:snapToGrid w:val="0"/>
        <w:spacing w:line="336" w:lineRule="auto"/>
        <w:ind w:firstLine="640"/>
        <w:jc w:val="left"/>
        <w:textAlignment w:val="center"/>
        <w:rPr>
          <w:rFonts w:hint="eastAsia" w:ascii="仿宋_GB2312" w:hAnsi="仿宋_GB2312" w:eastAsia="仿宋_GB2312" w:cs="仿宋_GB2312"/>
          <w:b w:val="0"/>
          <w:bCs w:val="0"/>
          <w:color w:val="auto"/>
          <w:kern w:val="0"/>
          <w:sz w:val="24"/>
          <w:szCs w:val="24"/>
          <w:shd w:val="clear" w:color="auto" w:fill="auto"/>
          <w:lang w:eastAsia="zh-CN"/>
        </w:rPr>
      </w:pPr>
      <w:r>
        <w:rPr>
          <w:rFonts w:hint="eastAsia" w:ascii="仿宋_GB2312" w:hAnsi="仿宋_GB2312" w:eastAsia="仿宋_GB2312" w:cs="仿宋_GB2312"/>
          <w:b w:val="0"/>
          <w:bCs w:val="0"/>
          <w:color w:val="auto"/>
          <w:kern w:val="0"/>
          <w:sz w:val="24"/>
          <w:szCs w:val="24"/>
          <w:shd w:val="clear" w:color="auto" w:fill="auto"/>
        </w:rPr>
        <w:t>根据垃圾收集、分类、处理方式，作业时间等因素，配置相应人员和运载工具，有序开展垃圾分类收集和生态处置工作</w:t>
      </w:r>
      <w:r>
        <w:rPr>
          <w:rFonts w:hint="eastAsia" w:ascii="仿宋_GB2312" w:hAnsi="仿宋_GB2312" w:eastAsia="仿宋_GB2312" w:cs="仿宋_GB2312"/>
          <w:b w:val="0"/>
          <w:bCs w:val="0"/>
          <w:color w:val="auto"/>
          <w:kern w:val="0"/>
          <w:sz w:val="24"/>
          <w:szCs w:val="24"/>
          <w:shd w:val="clear" w:color="auto" w:fill="auto"/>
          <w:lang w:eastAsia="zh-CN"/>
        </w:rPr>
        <w:t>。</w:t>
      </w:r>
    </w:p>
    <w:p>
      <w:pPr>
        <w:keepNext w:val="0"/>
        <w:keepLines w:val="0"/>
        <w:pageBreakBefore w:val="0"/>
        <w:widowControl/>
        <w:kinsoku/>
        <w:wordWrap/>
        <w:overflowPunct/>
        <w:topLinePunct w:val="0"/>
        <w:autoSpaceDE/>
        <w:autoSpaceDN/>
        <w:bidi w:val="0"/>
        <w:adjustRightInd w:val="0"/>
        <w:snapToGrid w:val="0"/>
        <w:spacing w:line="336" w:lineRule="auto"/>
        <w:ind w:firstLine="640"/>
        <w:jc w:val="left"/>
        <w:textAlignment w:val="center"/>
        <w:rPr>
          <w:rFonts w:hint="eastAsia" w:ascii="仿宋_GB2312" w:hAnsi="仿宋_GB2312" w:eastAsia="仿宋_GB2312" w:cs="仿宋_GB2312"/>
          <w:b w:val="0"/>
          <w:bCs w:val="0"/>
          <w:color w:val="auto"/>
          <w:kern w:val="0"/>
          <w:sz w:val="24"/>
          <w:szCs w:val="24"/>
          <w:shd w:val="clear" w:color="auto" w:fill="auto"/>
        </w:rPr>
      </w:pPr>
      <w:r>
        <w:rPr>
          <w:rFonts w:hint="eastAsia" w:ascii="仿宋_GB2312" w:hAnsi="仿宋_GB2312" w:eastAsia="仿宋_GB2312" w:cs="仿宋_GB2312"/>
          <w:b w:val="0"/>
          <w:bCs w:val="0"/>
          <w:color w:val="auto"/>
          <w:kern w:val="0"/>
          <w:sz w:val="24"/>
          <w:szCs w:val="24"/>
          <w:shd w:val="clear" w:color="auto" w:fill="auto"/>
        </w:rPr>
        <w:t>1</w:t>
      </w:r>
      <w:r>
        <w:rPr>
          <w:rFonts w:hint="eastAsia" w:ascii="仿宋_GB2312" w:hAnsi="仿宋_GB2312" w:eastAsia="仿宋_GB2312" w:cs="仿宋_GB2312"/>
          <w:b w:val="0"/>
          <w:bCs w:val="0"/>
          <w:color w:val="auto"/>
          <w:kern w:val="0"/>
          <w:sz w:val="24"/>
          <w:szCs w:val="24"/>
          <w:shd w:val="clear" w:color="auto" w:fill="auto"/>
          <w:lang w:eastAsia="zh-CN"/>
        </w:rPr>
        <w:t>.</w:t>
      </w:r>
      <w:r>
        <w:rPr>
          <w:rFonts w:hint="eastAsia" w:ascii="仿宋_GB2312" w:hAnsi="仿宋_GB2312" w:eastAsia="仿宋_GB2312" w:cs="仿宋_GB2312"/>
          <w:b w:val="0"/>
          <w:bCs w:val="0"/>
          <w:color w:val="auto"/>
          <w:kern w:val="0"/>
          <w:sz w:val="24"/>
          <w:szCs w:val="24"/>
          <w:shd w:val="clear" w:color="auto" w:fill="auto"/>
        </w:rPr>
        <w:t>组建环境卫生监督管理队伍。镇治理办主要负责全镇环境卫生检查，监督相关人员落实保洁工作。</w:t>
      </w:r>
    </w:p>
    <w:p>
      <w:pPr>
        <w:keepNext w:val="0"/>
        <w:keepLines w:val="0"/>
        <w:pageBreakBefore w:val="0"/>
        <w:kinsoku/>
        <w:wordWrap/>
        <w:overflowPunct/>
        <w:topLinePunct w:val="0"/>
        <w:autoSpaceDE/>
        <w:autoSpaceDN/>
        <w:bidi w:val="0"/>
        <w:adjustRightInd w:val="0"/>
        <w:snapToGrid w:val="0"/>
        <w:spacing w:line="336" w:lineRule="auto"/>
        <w:ind w:firstLine="645"/>
        <w:rPr>
          <w:rFonts w:hint="eastAsia" w:ascii="仿宋_GB2312" w:hAnsi="仿宋_GB2312" w:eastAsia="仿宋_GB2312" w:cs="仿宋_GB2312"/>
          <w:sz w:val="24"/>
          <w:szCs w:val="24"/>
        </w:rPr>
      </w:pPr>
      <w:r>
        <w:rPr>
          <w:rFonts w:hint="eastAsia" w:ascii="仿宋_GB2312" w:hAnsi="仿宋_GB2312" w:eastAsia="仿宋_GB2312" w:cs="仿宋_GB2312"/>
          <w:b w:val="0"/>
          <w:bCs w:val="0"/>
          <w:color w:val="auto"/>
          <w:kern w:val="0"/>
          <w:sz w:val="24"/>
          <w:szCs w:val="24"/>
          <w:shd w:val="clear" w:color="auto" w:fill="auto"/>
        </w:rPr>
        <w:t>2</w:t>
      </w:r>
      <w:r>
        <w:rPr>
          <w:rFonts w:hint="eastAsia" w:ascii="仿宋_GB2312" w:hAnsi="仿宋_GB2312" w:eastAsia="仿宋_GB2312" w:cs="仿宋_GB2312"/>
          <w:b w:val="0"/>
          <w:bCs w:val="0"/>
          <w:color w:val="auto"/>
          <w:kern w:val="0"/>
          <w:sz w:val="24"/>
          <w:szCs w:val="24"/>
          <w:shd w:val="clear" w:color="auto" w:fill="auto"/>
          <w:lang w:eastAsia="zh-CN"/>
        </w:rPr>
        <w:t>.</w:t>
      </w:r>
      <w:r>
        <w:rPr>
          <w:rFonts w:hint="eastAsia" w:ascii="仿宋_GB2312" w:hAnsi="仿宋_GB2312" w:eastAsia="仿宋_GB2312" w:cs="仿宋_GB2312"/>
          <w:kern w:val="0"/>
          <w:sz w:val="24"/>
          <w:szCs w:val="24"/>
        </w:rPr>
        <w:t>配齐村组保洁人员。</w:t>
      </w:r>
      <w:r>
        <w:rPr>
          <w:rFonts w:hint="eastAsia" w:ascii="仿宋_GB2312" w:hAnsi="仿宋_GB2312" w:eastAsia="仿宋_GB2312" w:cs="仿宋_GB2312"/>
          <w:sz w:val="24"/>
          <w:szCs w:val="24"/>
        </w:rPr>
        <w:t>村组保洁人员由各镇与公益性岗位人员统筹整合使用，资金不足部分由镇自行解决。保洁人员负责将垃圾收集池垃圾转运到镇上垃圾生态处理池分类处理，每月清运</w:t>
      </w:r>
      <w:r>
        <w:rPr>
          <w:rFonts w:hint="eastAsia" w:ascii="仿宋_GB2312" w:hAnsi="仿宋_GB2312" w:eastAsia="仿宋_GB2312" w:cs="仿宋_GB2312"/>
          <w:sz w:val="24"/>
          <w:szCs w:val="24"/>
          <w:lang w:val="en-US" w:eastAsia="zh-CN"/>
        </w:rPr>
        <w:t>10</w:t>
      </w:r>
      <w:r>
        <w:rPr>
          <w:rFonts w:hint="eastAsia" w:ascii="仿宋_GB2312" w:hAnsi="仿宋_GB2312" w:eastAsia="仿宋_GB2312" w:cs="仿宋_GB2312"/>
          <w:sz w:val="24"/>
          <w:szCs w:val="24"/>
        </w:rPr>
        <w:t>次以上。同时负责村、组道路沿线和公共区域的卫生清扫保洁工作。</w:t>
      </w:r>
      <w:r>
        <w:rPr>
          <w:rFonts w:hint="eastAsia" w:ascii="仿宋_GB2312" w:hAnsi="仿宋_GB2312" w:eastAsia="仿宋_GB2312" w:cs="仿宋_GB2312"/>
          <w:sz w:val="24"/>
          <w:szCs w:val="24"/>
          <w:lang w:eastAsia="zh-CN"/>
        </w:rPr>
        <w:t>镇</w:t>
      </w:r>
      <w:r>
        <w:rPr>
          <w:rFonts w:hint="eastAsia" w:ascii="仿宋_GB2312" w:hAnsi="仿宋_GB2312" w:eastAsia="仿宋_GB2312" w:cs="仿宋_GB2312"/>
          <w:sz w:val="24"/>
          <w:szCs w:val="24"/>
        </w:rPr>
        <w:t>党委政府对保洁人员实行月督查、月考核制度。</w:t>
      </w:r>
    </w:p>
    <w:p>
      <w:pPr>
        <w:keepNext w:val="0"/>
        <w:keepLines w:val="0"/>
        <w:pageBreakBefore w:val="0"/>
        <w:widowControl/>
        <w:kinsoku/>
        <w:wordWrap/>
        <w:overflowPunct/>
        <w:topLinePunct w:val="0"/>
        <w:autoSpaceDE/>
        <w:autoSpaceDN/>
        <w:bidi w:val="0"/>
        <w:adjustRightInd w:val="0"/>
        <w:snapToGrid w:val="0"/>
        <w:spacing w:line="336" w:lineRule="auto"/>
        <w:ind w:firstLine="643"/>
        <w:jc w:val="left"/>
        <w:textAlignment w:val="center"/>
        <w:rPr>
          <w:rFonts w:hint="eastAsia" w:ascii="黑体" w:hAnsi="黑体" w:eastAsia="黑体" w:cs="黑体"/>
          <w:b w:val="0"/>
          <w:bCs w:val="0"/>
          <w:color w:val="auto"/>
          <w:kern w:val="0"/>
          <w:sz w:val="24"/>
          <w:szCs w:val="24"/>
          <w:shd w:val="clear" w:color="auto" w:fill="auto"/>
        </w:rPr>
      </w:pPr>
      <w:r>
        <w:rPr>
          <w:rFonts w:hint="eastAsia" w:ascii="黑体" w:hAnsi="黑体" w:eastAsia="黑体" w:cs="黑体"/>
          <w:b w:val="0"/>
          <w:bCs w:val="0"/>
          <w:color w:val="auto"/>
          <w:kern w:val="0"/>
          <w:sz w:val="24"/>
          <w:szCs w:val="24"/>
          <w:shd w:val="clear" w:color="auto" w:fill="auto"/>
          <w:lang w:eastAsia="zh-CN"/>
        </w:rPr>
        <w:t>四</w:t>
      </w:r>
      <w:r>
        <w:rPr>
          <w:rFonts w:hint="eastAsia" w:ascii="黑体" w:hAnsi="黑体" w:eastAsia="黑体" w:cs="黑体"/>
          <w:b w:val="0"/>
          <w:bCs w:val="0"/>
          <w:color w:val="auto"/>
          <w:kern w:val="0"/>
          <w:sz w:val="24"/>
          <w:szCs w:val="24"/>
          <w:shd w:val="clear" w:color="auto" w:fill="auto"/>
        </w:rPr>
        <w:t>、工作内容</w:t>
      </w:r>
    </w:p>
    <w:p>
      <w:pPr>
        <w:keepNext w:val="0"/>
        <w:keepLines w:val="0"/>
        <w:pageBreakBefore w:val="0"/>
        <w:widowControl/>
        <w:kinsoku/>
        <w:wordWrap/>
        <w:overflowPunct/>
        <w:topLinePunct w:val="0"/>
        <w:autoSpaceDE/>
        <w:autoSpaceDN/>
        <w:bidi w:val="0"/>
        <w:adjustRightInd w:val="0"/>
        <w:snapToGrid w:val="0"/>
        <w:spacing w:line="336" w:lineRule="auto"/>
        <w:ind w:firstLine="640"/>
        <w:jc w:val="left"/>
        <w:textAlignment w:val="center"/>
        <w:rPr>
          <w:rFonts w:hint="eastAsia" w:ascii="仿宋_GB2312" w:hAnsi="仿宋_GB2312" w:eastAsia="仿宋_GB2312" w:cs="仿宋_GB2312"/>
          <w:b w:val="0"/>
          <w:bCs w:val="0"/>
          <w:color w:val="auto"/>
          <w:kern w:val="0"/>
          <w:sz w:val="24"/>
          <w:szCs w:val="24"/>
          <w:shd w:val="clear" w:color="auto" w:fill="auto"/>
        </w:rPr>
      </w:pPr>
      <w:r>
        <w:rPr>
          <w:rFonts w:hint="eastAsia" w:ascii="仿宋_GB2312" w:hAnsi="仿宋_GB2312" w:eastAsia="仿宋_GB2312" w:cs="仿宋_GB2312"/>
          <w:b w:val="0"/>
          <w:bCs w:val="0"/>
          <w:color w:val="auto"/>
          <w:kern w:val="0"/>
          <w:sz w:val="24"/>
          <w:szCs w:val="24"/>
          <w:shd w:val="clear" w:color="auto" w:fill="auto"/>
          <w:lang w:eastAsia="zh-CN"/>
        </w:rPr>
        <w:t>（一）</w:t>
      </w:r>
      <w:r>
        <w:rPr>
          <w:rFonts w:hint="eastAsia" w:ascii="仿宋_GB2312" w:hAnsi="仿宋_GB2312" w:eastAsia="仿宋_GB2312" w:cs="仿宋_GB2312"/>
          <w:b w:val="0"/>
          <w:bCs w:val="0"/>
          <w:color w:val="auto"/>
          <w:kern w:val="0"/>
          <w:sz w:val="24"/>
          <w:szCs w:val="24"/>
          <w:shd w:val="clear" w:color="auto" w:fill="auto"/>
          <w:lang w:val="en-US" w:eastAsia="zh-CN"/>
        </w:rPr>
        <w:t>4</w:t>
      </w:r>
      <w:r>
        <w:rPr>
          <w:rFonts w:hint="eastAsia" w:ascii="仿宋_GB2312" w:hAnsi="仿宋_GB2312" w:eastAsia="仿宋_GB2312" w:cs="仿宋_GB2312"/>
          <w:b w:val="0"/>
          <w:bCs w:val="0"/>
          <w:color w:val="auto"/>
          <w:kern w:val="0"/>
          <w:sz w:val="24"/>
          <w:szCs w:val="24"/>
          <w:shd w:val="clear" w:color="auto" w:fill="auto"/>
        </w:rPr>
        <w:t>月20日至</w:t>
      </w:r>
      <w:r>
        <w:rPr>
          <w:rFonts w:hint="eastAsia" w:ascii="仿宋_GB2312" w:hAnsi="仿宋_GB2312" w:eastAsia="仿宋_GB2312" w:cs="仿宋_GB2312"/>
          <w:b w:val="0"/>
          <w:bCs w:val="0"/>
          <w:color w:val="auto"/>
          <w:kern w:val="0"/>
          <w:sz w:val="24"/>
          <w:szCs w:val="24"/>
          <w:shd w:val="clear" w:color="auto" w:fill="auto"/>
          <w:lang w:val="en-US" w:eastAsia="zh-CN"/>
        </w:rPr>
        <w:t>4</w:t>
      </w:r>
      <w:r>
        <w:rPr>
          <w:rFonts w:hint="eastAsia" w:ascii="仿宋_GB2312" w:hAnsi="仿宋_GB2312" w:eastAsia="仿宋_GB2312" w:cs="仿宋_GB2312"/>
          <w:b w:val="0"/>
          <w:bCs w:val="0"/>
          <w:color w:val="auto"/>
          <w:kern w:val="0"/>
          <w:sz w:val="24"/>
          <w:szCs w:val="24"/>
          <w:shd w:val="clear" w:color="auto" w:fill="auto"/>
        </w:rPr>
        <w:t>月</w:t>
      </w:r>
      <w:r>
        <w:rPr>
          <w:rFonts w:hint="eastAsia" w:ascii="仿宋_GB2312" w:hAnsi="仿宋_GB2312" w:eastAsia="仿宋_GB2312" w:cs="仿宋_GB2312"/>
          <w:b w:val="0"/>
          <w:bCs w:val="0"/>
          <w:color w:val="auto"/>
          <w:kern w:val="0"/>
          <w:sz w:val="24"/>
          <w:szCs w:val="24"/>
          <w:shd w:val="clear" w:color="auto" w:fill="auto"/>
          <w:lang w:val="en-US" w:eastAsia="zh-CN"/>
        </w:rPr>
        <w:t>3</w:t>
      </w:r>
      <w:r>
        <w:rPr>
          <w:rFonts w:hint="eastAsia" w:ascii="仿宋_GB2312" w:hAnsi="仿宋_GB2312" w:eastAsia="仿宋_GB2312" w:cs="仿宋_GB2312"/>
          <w:b w:val="0"/>
          <w:bCs w:val="0"/>
          <w:color w:val="auto"/>
          <w:kern w:val="0"/>
          <w:sz w:val="24"/>
          <w:szCs w:val="24"/>
          <w:shd w:val="clear" w:color="auto" w:fill="auto"/>
        </w:rPr>
        <w:t>0日组织对</w:t>
      </w:r>
      <w:r>
        <w:rPr>
          <w:rFonts w:hint="eastAsia" w:ascii="仿宋_GB2312" w:hAnsi="仿宋_GB2312" w:eastAsia="仿宋_GB2312" w:cs="仿宋_GB2312"/>
          <w:b w:val="0"/>
          <w:bCs w:val="0"/>
          <w:color w:val="auto"/>
          <w:kern w:val="0"/>
          <w:sz w:val="24"/>
          <w:szCs w:val="24"/>
          <w:shd w:val="clear" w:color="auto" w:fill="auto"/>
          <w:lang w:eastAsia="zh-CN"/>
        </w:rPr>
        <w:t>示范点</w:t>
      </w:r>
      <w:r>
        <w:rPr>
          <w:rFonts w:hint="eastAsia" w:ascii="仿宋_GB2312" w:hAnsi="仿宋_GB2312" w:eastAsia="仿宋_GB2312" w:cs="仿宋_GB2312"/>
          <w:b w:val="0"/>
          <w:bCs w:val="0"/>
          <w:color w:val="auto"/>
          <w:kern w:val="0"/>
          <w:sz w:val="24"/>
          <w:szCs w:val="24"/>
          <w:shd w:val="clear" w:color="auto" w:fill="auto"/>
        </w:rPr>
        <w:t>内配备</w:t>
      </w:r>
      <w:r>
        <w:rPr>
          <w:rFonts w:hint="eastAsia" w:ascii="仿宋_GB2312" w:hAnsi="仿宋_GB2312" w:eastAsia="仿宋_GB2312" w:cs="仿宋_GB2312"/>
          <w:b w:val="0"/>
          <w:bCs w:val="0"/>
          <w:color w:val="auto"/>
          <w:kern w:val="0"/>
          <w:sz w:val="24"/>
          <w:szCs w:val="24"/>
          <w:shd w:val="clear" w:color="auto" w:fill="auto"/>
          <w:lang w:eastAsia="zh-CN"/>
        </w:rPr>
        <w:t>垃圾桶、</w:t>
      </w:r>
      <w:r>
        <w:rPr>
          <w:rFonts w:hint="eastAsia" w:ascii="仿宋_GB2312" w:hAnsi="仿宋_GB2312" w:eastAsia="仿宋_GB2312" w:cs="仿宋_GB2312"/>
          <w:b w:val="0"/>
          <w:bCs w:val="0"/>
          <w:color w:val="auto"/>
          <w:kern w:val="0"/>
          <w:sz w:val="24"/>
          <w:szCs w:val="24"/>
          <w:shd w:val="clear" w:color="auto" w:fill="auto"/>
        </w:rPr>
        <w:t>垃圾运输车辆的情况开展摸底调查工作，同时结合实际，确定</w:t>
      </w:r>
      <w:r>
        <w:rPr>
          <w:rFonts w:hint="eastAsia" w:ascii="仿宋_GB2312" w:hAnsi="仿宋_GB2312" w:eastAsia="仿宋_GB2312" w:cs="仿宋_GB2312"/>
          <w:b w:val="0"/>
          <w:bCs w:val="0"/>
          <w:color w:val="auto"/>
          <w:kern w:val="0"/>
          <w:sz w:val="24"/>
          <w:szCs w:val="24"/>
          <w:shd w:val="clear" w:color="auto" w:fill="auto"/>
          <w:lang w:eastAsia="zh-CN"/>
        </w:rPr>
        <w:t>购买垃圾桶</w:t>
      </w:r>
      <w:r>
        <w:rPr>
          <w:rFonts w:hint="eastAsia" w:ascii="仿宋_GB2312" w:hAnsi="仿宋_GB2312" w:eastAsia="仿宋_GB2312" w:cs="仿宋_GB2312"/>
          <w:b w:val="0"/>
          <w:bCs w:val="0"/>
          <w:color w:val="auto"/>
          <w:kern w:val="0"/>
          <w:sz w:val="24"/>
          <w:szCs w:val="24"/>
          <w:shd w:val="clear" w:color="auto" w:fill="auto"/>
        </w:rPr>
        <w:t>数量，整合资源，降低成本，保证资金用在刀刃上。</w:t>
      </w:r>
    </w:p>
    <w:p>
      <w:pPr>
        <w:keepNext w:val="0"/>
        <w:keepLines w:val="0"/>
        <w:pageBreakBefore w:val="0"/>
        <w:widowControl/>
        <w:kinsoku/>
        <w:wordWrap/>
        <w:overflowPunct/>
        <w:topLinePunct w:val="0"/>
        <w:autoSpaceDE/>
        <w:autoSpaceDN/>
        <w:bidi w:val="0"/>
        <w:adjustRightInd w:val="0"/>
        <w:snapToGrid w:val="0"/>
        <w:spacing w:line="336" w:lineRule="auto"/>
        <w:ind w:firstLine="640"/>
        <w:jc w:val="left"/>
        <w:textAlignment w:val="center"/>
        <w:rPr>
          <w:rFonts w:hint="eastAsia" w:ascii="仿宋_GB2312" w:hAnsi="仿宋_GB2312" w:eastAsia="仿宋_GB2312" w:cs="仿宋_GB2312"/>
          <w:b w:val="0"/>
          <w:bCs w:val="0"/>
          <w:color w:val="auto"/>
          <w:kern w:val="0"/>
          <w:sz w:val="24"/>
          <w:szCs w:val="24"/>
          <w:shd w:val="clear" w:color="auto" w:fill="auto"/>
        </w:rPr>
      </w:pPr>
      <w:r>
        <w:rPr>
          <w:rFonts w:hint="eastAsia" w:ascii="仿宋_GB2312" w:hAnsi="仿宋_GB2312" w:eastAsia="仿宋_GB2312" w:cs="仿宋_GB2312"/>
          <w:b w:val="0"/>
          <w:bCs w:val="0"/>
          <w:color w:val="auto"/>
          <w:kern w:val="0"/>
          <w:sz w:val="24"/>
          <w:szCs w:val="24"/>
          <w:shd w:val="clear" w:color="auto" w:fill="auto"/>
          <w:lang w:eastAsia="zh-CN"/>
        </w:rPr>
        <w:t>（二）</w:t>
      </w:r>
      <w:r>
        <w:rPr>
          <w:rFonts w:hint="eastAsia" w:ascii="仿宋_GB2312" w:hAnsi="仿宋_GB2312" w:eastAsia="仿宋_GB2312" w:cs="仿宋_GB2312"/>
          <w:b w:val="0"/>
          <w:bCs w:val="0"/>
          <w:color w:val="auto"/>
          <w:kern w:val="0"/>
          <w:sz w:val="24"/>
          <w:szCs w:val="24"/>
          <w:shd w:val="clear" w:color="auto" w:fill="auto"/>
          <w:lang w:val="en-US" w:eastAsia="zh-CN"/>
        </w:rPr>
        <w:t>5</w:t>
      </w:r>
      <w:r>
        <w:rPr>
          <w:rFonts w:hint="eastAsia" w:ascii="仿宋_GB2312" w:hAnsi="仿宋_GB2312" w:eastAsia="仿宋_GB2312" w:cs="仿宋_GB2312"/>
          <w:b w:val="0"/>
          <w:bCs w:val="0"/>
          <w:color w:val="auto"/>
          <w:kern w:val="0"/>
          <w:sz w:val="24"/>
          <w:szCs w:val="24"/>
          <w:shd w:val="clear" w:color="auto" w:fill="auto"/>
        </w:rPr>
        <w:t>月</w:t>
      </w:r>
      <w:r>
        <w:rPr>
          <w:rFonts w:hint="eastAsia" w:ascii="仿宋_GB2312" w:hAnsi="仿宋_GB2312" w:eastAsia="仿宋_GB2312" w:cs="仿宋_GB2312"/>
          <w:b w:val="0"/>
          <w:bCs w:val="0"/>
          <w:color w:val="auto"/>
          <w:kern w:val="0"/>
          <w:sz w:val="24"/>
          <w:szCs w:val="24"/>
          <w:shd w:val="clear" w:color="auto" w:fill="auto"/>
          <w:lang w:val="en-US" w:eastAsia="zh-CN"/>
        </w:rPr>
        <w:t>5</w:t>
      </w:r>
      <w:r>
        <w:rPr>
          <w:rFonts w:hint="eastAsia" w:ascii="仿宋_GB2312" w:hAnsi="仿宋_GB2312" w:eastAsia="仿宋_GB2312" w:cs="仿宋_GB2312"/>
          <w:b w:val="0"/>
          <w:bCs w:val="0"/>
          <w:color w:val="auto"/>
          <w:kern w:val="0"/>
          <w:sz w:val="24"/>
          <w:szCs w:val="24"/>
          <w:shd w:val="clear" w:color="auto" w:fill="auto"/>
        </w:rPr>
        <w:t>日至</w:t>
      </w:r>
      <w:r>
        <w:rPr>
          <w:rFonts w:hint="eastAsia" w:ascii="仿宋_GB2312" w:hAnsi="仿宋_GB2312" w:eastAsia="仿宋_GB2312" w:cs="仿宋_GB2312"/>
          <w:b w:val="0"/>
          <w:bCs w:val="0"/>
          <w:color w:val="auto"/>
          <w:kern w:val="0"/>
          <w:sz w:val="24"/>
          <w:szCs w:val="24"/>
          <w:shd w:val="clear" w:color="auto" w:fill="auto"/>
          <w:lang w:val="en-US" w:eastAsia="zh-CN"/>
        </w:rPr>
        <w:t>5</w:t>
      </w:r>
      <w:r>
        <w:rPr>
          <w:rFonts w:hint="eastAsia" w:ascii="仿宋_GB2312" w:hAnsi="仿宋_GB2312" w:eastAsia="仿宋_GB2312" w:cs="仿宋_GB2312"/>
          <w:b w:val="0"/>
          <w:bCs w:val="0"/>
          <w:color w:val="auto"/>
          <w:kern w:val="0"/>
          <w:sz w:val="24"/>
          <w:szCs w:val="24"/>
          <w:shd w:val="clear" w:color="auto" w:fill="auto"/>
        </w:rPr>
        <w:t>月</w:t>
      </w:r>
      <w:r>
        <w:rPr>
          <w:rFonts w:hint="eastAsia" w:ascii="仿宋_GB2312" w:hAnsi="仿宋_GB2312" w:eastAsia="仿宋_GB2312" w:cs="仿宋_GB2312"/>
          <w:b w:val="0"/>
          <w:bCs w:val="0"/>
          <w:color w:val="auto"/>
          <w:kern w:val="0"/>
          <w:sz w:val="24"/>
          <w:szCs w:val="24"/>
          <w:shd w:val="clear" w:color="auto" w:fill="auto"/>
          <w:lang w:val="en-US" w:eastAsia="zh-CN"/>
        </w:rPr>
        <w:t>20</w:t>
      </w:r>
      <w:r>
        <w:rPr>
          <w:rFonts w:hint="eastAsia" w:ascii="仿宋_GB2312" w:hAnsi="仿宋_GB2312" w:eastAsia="仿宋_GB2312" w:cs="仿宋_GB2312"/>
          <w:b w:val="0"/>
          <w:bCs w:val="0"/>
          <w:color w:val="auto"/>
          <w:kern w:val="0"/>
          <w:sz w:val="24"/>
          <w:szCs w:val="24"/>
          <w:shd w:val="clear" w:color="auto" w:fill="auto"/>
        </w:rPr>
        <w:t>日制订201</w:t>
      </w:r>
      <w:r>
        <w:rPr>
          <w:rFonts w:hint="eastAsia" w:ascii="仿宋_GB2312" w:hAnsi="仿宋_GB2312" w:eastAsia="仿宋_GB2312" w:cs="仿宋_GB2312"/>
          <w:b w:val="0"/>
          <w:bCs w:val="0"/>
          <w:color w:val="auto"/>
          <w:kern w:val="0"/>
          <w:sz w:val="24"/>
          <w:szCs w:val="24"/>
          <w:shd w:val="clear" w:color="auto" w:fill="auto"/>
          <w:lang w:val="en-US" w:eastAsia="zh-CN"/>
        </w:rPr>
        <w:t>9</w:t>
      </w:r>
      <w:r>
        <w:rPr>
          <w:rFonts w:hint="eastAsia" w:ascii="仿宋_GB2312" w:hAnsi="仿宋_GB2312" w:eastAsia="仿宋_GB2312" w:cs="仿宋_GB2312"/>
          <w:b w:val="0"/>
          <w:bCs w:val="0"/>
          <w:color w:val="auto"/>
          <w:kern w:val="0"/>
          <w:sz w:val="24"/>
          <w:szCs w:val="24"/>
          <w:shd w:val="clear" w:color="auto" w:fill="auto"/>
        </w:rPr>
        <w:t>年工作方案，同时进行广泛的宣传动员工作，召开村民小组会议、院坝会，宣传教育群众广泛参与到解决农村垃圾面源污染和垃圾减量化的工作中来，杜绝出现政府主动、群众旁观的现象。</w:t>
      </w:r>
    </w:p>
    <w:p>
      <w:pPr>
        <w:keepNext w:val="0"/>
        <w:keepLines w:val="0"/>
        <w:pageBreakBefore w:val="0"/>
        <w:widowControl/>
        <w:kinsoku/>
        <w:wordWrap/>
        <w:overflowPunct/>
        <w:topLinePunct w:val="0"/>
        <w:autoSpaceDE/>
        <w:autoSpaceDN/>
        <w:bidi w:val="0"/>
        <w:adjustRightInd w:val="0"/>
        <w:snapToGrid w:val="0"/>
        <w:spacing w:line="336" w:lineRule="auto"/>
        <w:ind w:firstLine="640"/>
        <w:jc w:val="left"/>
        <w:textAlignment w:val="center"/>
        <w:rPr>
          <w:rFonts w:hint="eastAsia" w:ascii="仿宋_GB2312" w:hAnsi="仿宋_GB2312" w:eastAsia="仿宋_GB2312" w:cs="仿宋_GB2312"/>
          <w:b w:val="0"/>
          <w:bCs w:val="0"/>
          <w:color w:val="auto"/>
          <w:kern w:val="0"/>
          <w:sz w:val="24"/>
          <w:szCs w:val="24"/>
          <w:shd w:val="clear" w:color="auto" w:fill="auto"/>
        </w:rPr>
      </w:pPr>
      <w:r>
        <w:rPr>
          <w:rFonts w:hint="eastAsia" w:ascii="仿宋_GB2312" w:hAnsi="仿宋_GB2312" w:eastAsia="仿宋_GB2312" w:cs="仿宋_GB2312"/>
          <w:b w:val="0"/>
          <w:bCs w:val="0"/>
          <w:color w:val="auto"/>
          <w:kern w:val="0"/>
          <w:sz w:val="24"/>
          <w:szCs w:val="24"/>
          <w:shd w:val="clear" w:color="auto" w:fill="auto"/>
          <w:lang w:eastAsia="zh-CN"/>
        </w:rPr>
        <w:t>（三）</w:t>
      </w:r>
      <w:r>
        <w:rPr>
          <w:rFonts w:hint="eastAsia" w:ascii="仿宋_GB2312" w:hAnsi="仿宋_GB2312" w:eastAsia="仿宋_GB2312" w:cs="仿宋_GB2312"/>
          <w:b w:val="0"/>
          <w:bCs w:val="0"/>
          <w:color w:val="auto"/>
          <w:kern w:val="0"/>
          <w:sz w:val="24"/>
          <w:szCs w:val="24"/>
          <w:shd w:val="clear" w:color="auto" w:fill="auto"/>
          <w:lang w:val="en-US" w:eastAsia="zh-CN"/>
        </w:rPr>
        <w:t>5</w:t>
      </w:r>
      <w:r>
        <w:rPr>
          <w:rFonts w:hint="eastAsia" w:ascii="仿宋_GB2312" w:hAnsi="仿宋_GB2312" w:eastAsia="仿宋_GB2312" w:cs="仿宋_GB2312"/>
          <w:b w:val="0"/>
          <w:bCs w:val="0"/>
          <w:color w:val="auto"/>
          <w:kern w:val="0"/>
          <w:sz w:val="24"/>
          <w:szCs w:val="24"/>
          <w:shd w:val="clear" w:color="auto" w:fill="auto"/>
        </w:rPr>
        <w:t>月</w:t>
      </w:r>
      <w:r>
        <w:rPr>
          <w:rFonts w:hint="eastAsia" w:ascii="仿宋_GB2312" w:hAnsi="仿宋_GB2312" w:eastAsia="仿宋_GB2312" w:cs="仿宋_GB2312"/>
          <w:b w:val="0"/>
          <w:bCs w:val="0"/>
          <w:color w:val="auto"/>
          <w:kern w:val="0"/>
          <w:sz w:val="24"/>
          <w:szCs w:val="24"/>
          <w:shd w:val="clear" w:color="auto" w:fill="auto"/>
          <w:lang w:val="en-US" w:eastAsia="zh-CN"/>
        </w:rPr>
        <w:t>2</w:t>
      </w:r>
      <w:r>
        <w:rPr>
          <w:rFonts w:hint="eastAsia" w:ascii="仿宋_GB2312" w:hAnsi="仿宋_GB2312" w:eastAsia="仿宋_GB2312" w:cs="仿宋_GB2312"/>
          <w:b w:val="0"/>
          <w:bCs w:val="0"/>
          <w:color w:val="auto"/>
          <w:kern w:val="0"/>
          <w:sz w:val="24"/>
          <w:szCs w:val="24"/>
          <w:shd w:val="clear" w:color="auto" w:fill="auto"/>
        </w:rPr>
        <w:t>1日至1</w:t>
      </w:r>
      <w:r>
        <w:rPr>
          <w:rFonts w:hint="eastAsia" w:ascii="仿宋_GB2312" w:hAnsi="仿宋_GB2312" w:eastAsia="仿宋_GB2312" w:cs="仿宋_GB2312"/>
          <w:b w:val="0"/>
          <w:bCs w:val="0"/>
          <w:color w:val="auto"/>
          <w:kern w:val="0"/>
          <w:sz w:val="24"/>
          <w:szCs w:val="24"/>
          <w:shd w:val="clear" w:color="auto" w:fill="auto"/>
          <w:lang w:val="en-US" w:eastAsia="zh-CN"/>
        </w:rPr>
        <w:t>2</w:t>
      </w:r>
      <w:r>
        <w:rPr>
          <w:rFonts w:hint="eastAsia" w:ascii="仿宋_GB2312" w:hAnsi="仿宋_GB2312" w:eastAsia="仿宋_GB2312" w:cs="仿宋_GB2312"/>
          <w:b w:val="0"/>
          <w:bCs w:val="0"/>
          <w:color w:val="auto"/>
          <w:kern w:val="0"/>
          <w:sz w:val="24"/>
          <w:szCs w:val="24"/>
          <w:shd w:val="clear" w:color="auto" w:fill="auto"/>
        </w:rPr>
        <w:t>月30日进入实施阶段，集中时间、集中精力，突出工作重点，配齐、配足环卫人员，定岗定责，切实履行控制农村面源污染的职责。</w:t>
      </w:r>
    </w:p>
    <w:p>
      <w:pPr>
        <w:keepNext w:val="0"/>
        <w:keepLines w:val="0"/>
        <w:pageBreakBefore w:val="0"/>
        <w:widowControl/>
        <w:kinsoku/>
        <w:wordWrap/>
        <w:overflowPunct/>
        <w:topLinePunct w:val="0"/>
        <w:autoSpaceDE/>
        <w:autoSpaceDN/>
        <w:bidi w:val="0"/>
        <w:adjustRightInd w:val="0"/>
        <w:snapToGrid w:val="0"/>
        <w:spacing w:line="336" w:lineRule="auto"/>
        <w:ind w:firstLine="640"/>
        <w:jc w:val="left"/>
        <w:textAlignment w:val="center"/>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b w:val="0"/>
          <w:bCs w:val="0"/>
          <w:color w:val="auto"/>
          <w:kern w:val="0"/>
          <w:sz w:val="24"/>
          <w:szCs w:val="24"/>
          <w:shd w:val="clear" w:color="auto" w:fill="auto"/>
          <w:lang w:eastAsia="zh-CN"/>
        </w:rPr>
        <w:t>（四）</w:t>
      </w:r>
      <w:r>
        <w:rPr>
          <w:rFonts w:hint="eastAsia" w:ascii="仿宋_GB2312" w:hAnsi="仿宋_GB2312" w:eastAsia="仿宋_GB2312" w:cs="仿宋_GB2312"/>
          <w:b w:val="0"/>
          <w:bCs w:val="0"/>
          <w:color w:val="auto"/>
          <w:kern w:val="0"/>
          <w:sz w:val="24"/>
          <w:szCs w:val="24"/>
          <w:shd w:val="clear" w:color="auto" w:fill="auto"/>
        </w:rPr>
        <w:t>充分发挥优势，创新宣传形式，利用广播、电视、报刊等各种宣传平台，开展新公民文明素质培训，宣传教育群众学习文化礼仪知识，改变生活陋习，提升公民综合素质；强化公民的环境意识培训，改变垃圾乱倒乱扔乱堆、杂物乱放的不良习惯，提高自觉参与改善自身环境卫生意识</w:t>
      </w:r>
      <w:r>
        <w:rPr>
          <w:rFonts w:hint="eastAsia" w:ascii="仿宋_GB2312" w:hAnsi="仿宋_GB2312" w:eastAsia="仿宋_GB2312" w:cs="仿宋_GB2312"/>
          <w:b w:val="0"/>
          <w:bCs w:val="0"/>
          <w:color w:val="auto"/>
          <w:kern w:val="0"/>
          <w:sz w:val="24"/>
          <w:szCs w:val="24"/>
          <w:shd w:val="clear" w:color="auto" w:fill="auto"/>
          <w:lang w:eastAsia="zh-CN"/>
        </w:rPr>
        <w:t>。</w:t>
      </w:r>
    </w:p>
    <w:p>
      <w:pPr>
        <w:widowControl/>
        <w:spacing w:line="600" w:lineRule="exact"/>
        <w:ind w:firstLine="1440" w:firstLineChars="600"/>
        <w:jc w:val="left"/>
        <w:rPr>
          <w:rFonts w:ascii="Times New Roman" w:hAnsi="Times New Roman" w:eastAsia="仿宋"/>
          <w:b w:val="0"/>
          <w:bCs w:val="0"/>
          <w:color w:val="000000"/>
          <w:sz w:val="24"/>
          <w:szCs w:val="24"/>
        </w:rPr>
      </w:pPr>
      <w:r>
        <w:rPr>
          <w:rFonts w:hint="eastAsia" w:ascii="Times New Roman" w:hAnsi="Times New Roman" w:eastAsia="仿宋"/>
          <w:b w:val="0"/>
          <w:bCs w:val="0"/>
          <w:color w:val="000000"/>
          <w:sz w:val="24"/>
          <w:szCs w:val="24"/>
        </w:rPr>
        <w:t>第二章</w:t>
      </w:r>
      <w:r>
        <w:rPr>
          <w:rFonts w:ascii="Times New Roman" w:hAnsi="Times New Roman" w:eastAsia="仿宋"/>
          <w:b w:val="0"/>
          <w:bCs w:val="0"/>
          <w:color w:val="000000"/>
          <w:sz w:val="24"/>
          <w:szCs w:val="24"/>
        </w:rPr>
        <w:t xml:space="preserve"> </w:t>
      </w:r>
      <w:r>
        <w:rPr>
          <w:rFonts w:hint="eastAsia" w:ascii="Times New Roman" w:hAnsi="Times New Roman" w:eastAsia="仿宋"/>
          <w:b w:val="0"/>
          <w:bCs w:val="0"/>
          <w:color w:val="000000"/>
          <w:sz w:val="24"/>
          <w:szCs w:val="24"/>
        </w:rPr>
        <w:t>发展环境分析</w:t>
      </w:r>
      <w:bookmarkEnd w:id="1"/>
    </w:p>
    <w:p>
      <w:pPr>
        <w:pStyle w:val="5"/>
        <w:spacing w:line="600" w:lineRule="exact"/>
        <w:rPr>
          <w:rFonts w:hint="eastAsia" w:ascii="Times New Roman" w:hAnsi="Times New Roman" w:eastAsia="仿宋"/>
          <w:b w:val="0"/>
          <w:bCs w:val="0"/>
          <w:color w:val="000000"/>
          <w:sz w:val="24"/>
          <w:szCs w:val="24"/>
        </w:rPr>
      </w:pPr>
      <w:bookmarkStart w:id="6" w:name="_Toc3884550"/>
      <w:r>
        <w:rPr>
          <w:rFonts w:hint="eastAsia" w:ascii="Times New Roman" w:hAnsi="Times New Roman" w:eastAsia="仿宋"/>
          <w:b w:val="0"/>
          <w:bCs w:val="0"/>
          <w:color w:val="000000"/>
          <w:sz w:val="24"/>
          <w:szCs w:val="24"/>
        </w:rPr>
        <w:t>一、项目区基本情况</w:t>
      </w:r>
      <w:bookmarkEnd w:id="6"/>
    </w:p>
    <w:p>
      <w:pPr>
        <w:spacing w:line="600" w:lineRule="exact"/>
        <w:ind w:firstLine="560"/>
        <w:rPr>
          <w:rFonts w:ascii="Times New Roman" w:hAnsi="Times New Roman" w:eastAsia="仿宋"/>
          <w:b w:val="0"/>
          <w:bCs w:val="0"/>
          <w:color w:val="000000"/>
          <w:sz w:val="24"/>
          <w:szCs w:val="24"/>
        </w:rPr>
      </w:pPr>
      <w:r>
        <w:rPr>
          <w:rFonts w:hint="eastAsia" w:ascii="Times New Roman" w:hAnsi="Times New Roman" w:eastAsia="仿宋"/>
          <w:b w:val="0"/>
          <w:bCs w:val="0"/>
          <w:color w:val="000000"/>
          <w:sz w:val="24"/>
          <w:szCs w:val="24"/>
        </w:rPr>
        <w:t>（</w:t>
      </w:r>
      <w:r>
        <w:rPr>
          <w:rFonts w:ascii="Times New Roman" w:hAnsi="Times New Roman" w:eastAsia="仿宋"/>
          <w:b w:val="0"/>
          <w:bCs w:val="0"/>
          <w:color w:val="000000"/>
          <w:sz w:val="24"/>
          <w:szCs w:val="24"/>
        </w:rPr>
        <w:t>1</w:t>
      </w:r>
      <w:r>
        <w:rPr>
          <w:rFonts w:hint="eastAsia" w:ascii="Times New Roman" w:hAnsi="Times New Roman" w:eastAsia="仿宋"/>
          <w:b w:val="0"/>
          <w:bCs w:val="0"/>
          <w:color w:val="000000"/>
          <w:sz w:val="24"/>
          <w:szCs w:val="24"/>
        </w:rPr>
        <w:t>）地理位置与行政区划</w:t>
      </w:r>
    </w:p>
    <w:p>
      <w:pPr>
        <w:spacing w:line="600" w:lineRule="exact"/>
        <w:ind w:firstLine="560"/>
        <w:rPr>
          <w:rFonts w:hint="default" w:ascii="Arial" w:hAnsi="Arial" w:eastAsia="宋体" w:cs="Arial"/>
          <w:b w:val="0"/>
          <w:bCs w:val="0"/>
          <w:i w:val="0"/>
          <w:caps w:val="0"/>
          <w:color w:val="333333"/>
          <w:spacing w:val="0"/>
          <w:sz w:val="24"/>
          <w:szCs w:val="24"/>
          <w:shd w:val="clear" w:fill="FFFFFF"/>
        </w:rPr>
      </w:pPr>
      <w:r>
        <w:rPr>
          <w:rFonts w:hint="eastAsia" w:ascii="Arial" w:hAnsi="Arial" w:eastAsia="宋体" w:cs="Arial"/>
          <w:b w:val="0"/>
          <w:bCs w:val="0"/>
          <w:i w:val="0"/>
          <w:caps w:val="0"/>
          <w:color w:val="333333"/>
          <w:spacing w:val="0"/>
          <w:sz w:val="24"/>
          <w:szCs w:val="24"/>
          <w:shd w:val="clear" w:fill="FFFFFF"/>
        </w:rPr>
        <w:t>射洪市，四川省辖县级市，由遂宁市代管，</w:t>
      </w:r>
      <w:r>
        <w:rPr>
          <w:rFonts w:hint="default" w:ascii="Arial" w:hAnsi="Arial" w:eastAsia="宋体" w:cs="Arial"/>
          <w:b w:val="0"/>
          <w:bCs w:val="0"/>
          <w:i w:val="0"/>
          <w:caps w:val="0"/>
          <w:color w:val="3366CC"/>
          <w:spacing w:val="0"/>
          <w:sz w:val="24"/>
          <w:szCs w:val="24"/>
          <w:shd w:val="clear" w:fill="FFFFFF"/>
          <w:vertAlign w:val="baseline"/>
        </w:rPr>
        <w:t> </w:t>
      </w:r>
      <w:r>
        <w:rPr>
          <w:rFonts w:hint="default" w:ascii="Arial" w:hAnsi="Arial" w:eastAsia="宋体" w:cs="Arial"/>
          <w:b w:val="0"/>
          <w:bCs w:val="0"/>
          <w:i w:val="0"/>
          <w:caps w:val="0"/>
          <w:color w:val="333333"/>
          <w:spacing w:val="0"/>
          <w:sz w:val="24"/>
          <w:szCs w:val="24"/>
          <w:shd w:val="clear" w:fill="FFFFFF"/>
        </w:rPr>
        <w:t> 地处</w:t>
      </w:r>
      <w:r>
        <w:rPr>
          <w:rFonts w:hint="default" w:ascii="Arial" w:hAnsi="Arial" w:eastAsia="宋体" w:cs="Arial"/>
          <w:b w:val="0"/>
          <w:bCs w:val="0"/>
          <w:i w:val="0"/>
          <w:caps w:val="0"/>
          <w:color w:val="136EC2"/>
          <w:spacing w:val="0"/>
          <w:sz w:val="24"/>
          <w:szCs w:val="24"/>
          <w:u w:val="none"/>
          <w:shd w:val="clear" w:fill="FFFFFF"/>
        </w:rPr>
        <w:fldChar w:fldCharType="begin"/>
      </w:r>
      <w:r>
        <w:rPr>
          <w:rFonts w:hint="default" w:ascii="Arial" w:hAnsi="Arial" w:eastAsia="宋体" w:cs="Arial"/>
          <w:b w:val="0"/>
          <w:bCs w:val="0"/>
          <w:i w:val="0"/>
          <w:caps w:val="0"/>
          <w:color w:val="136EC2"/>
          <w:spacing w:val="0"/>
          <w:sz w:val="24"/>
          <w:szCs w:val="24"/>
          <w:u w:val="none"/>
          <w:shd w:val="clear" w:fill="FFFFFF"/>
        </w:rPr>
        <w:instrText xml:space="preserve"> HYPERLINK "https://baike.baidu.com/item/%E5%9B%9B%E5%B7%9D%E7%9B%86%E5%9C%B0/404637" \t "https://baike.baidu.com/item/%E5%B0%84%E6%B4%AA/_blank" </w:instrText>
      </w:r>
      <w:r>
        <w:rPr>
          <w:rFonts w:hint="default" w:ascii="Arial" w:hAnsi="Arial" w:eastAsia="宋体" w:cs="Arial"/>
          <w:b w:val="0"/>
          <w:bCs w:val="0"/>
          <w:i w:val="0"/>
          <w:caps w:val="0"/>
          <w:color w:val="136EC2"/>
          <w:spacing w:val="0"/>
          <w:sz w:val="24"/>
          <w:szCs w:val="24"/>
          <w:u w:val="none"/>
          <w:shd w:val="clear" w:fill="FFFFFF"/>
        </w:rPr>
        <w:fldChar w:fldCharType="separate"/>
      </w:r>
      <w:r>
        <w:rPr>
          <w:rStyle w:val="26"/>
          <w:rFonts w:hint="default" w:ascii="Arial" w:hAnsi="Arial" w:eastAsia="宋体" w:cs="Arial"/>
          <w:b w:val="0"/>
          <w:bCs w:val="0"/>
          <w:i w:val="0"/>
          <w:caps w:val="0"/>
          <w:color w:val="136EC2"/>
          <w:spacing w:val="0"/>
          <w:sz w:val="24"/>
          <w:szCs w:val="24"/>
          <w:u w:val="none"/>
          <w:shd w:val="clear" w:fill="FFFFFF"/>
        </w:rPr>
        <w:t>四川盆地</w:t>
      </w:r>
      <w:r>
        <w:rPr>
          <w:rFonts w:hint="default" w:ascii="Arial" w:hAnsi="Arial" w:eastAsia="宋体" w:cs="Arial"/>
          <w:b w:val="0"/>
          <w:bCs w:val="0"/>
          <w:i w:val="0"/>
          <w:caps w:val="0"/>
          <w:color w:val="136EC2"/>
          <w:spacing w:val="0"/>
          <w:sz w:val="24"/>
          <w:szCs w:val="24"/>
          <w:u w:val="none"/>
          <w:shd w:val="clear" w:fill="FFFFFF"/>
        </w:rPr>
        <w:fldChar w:fldCharType="end"/>
      </w:r>
      <w:r>
        <w:rPr>
          <w:rFonts w:hint="default" w:ascii="Arial" w:hAnsi="Arial" w:eastAsia="宋体" w:cs="Arial"/>
          <w:b w:val="0"/>
          <w:bCs w:val="0"/>
          <w:i w:val="0"/>
          <w:caps w:val="0"/>
          <w:color w:val="333333"/>
          <w:spacing w:val="0"/>
          <w:sz w:val="24"/>
          <w:szCs w:val="24"/>
          <w:shd w:val="clear" w:fill="FFFFFF"/>
        </w:rPr>
        <w:t>中部，</w:t>
      </w:r>
      <w:r>
        <w:rPr>
          <w:rFonts w:hint="default" w:ascii="Arial" w:hAnsi="Arial" w:eastAsia="宋体" w:cs="Arial"/>
          <w:b w:val="0"/>
          <w:bCs w:val="0"/>
          <w:i w:val="0"/>
          <w:caps w:val="0"/>
          <w:color w:val="136EC2"/>
          <w:spacing w:val="0"/>
          <w:sz w:val="24"/>
          <w:szCs w:val="24"/>
          <w:u w:val="none"/>
          <w:shd w:val="clear" w:fill="FFFFFF"/>
        </w:rPr>
        <w:fldChar w:fldCharType="begin"/>
      </w:r>
      <w:r>
        <w:rPr>
          <w:rFonts w:hint="default" w:ascii="Arial" w:hAnsi="Arial" w:eastAsia="宋体" w:cs="Arial"/>
          <w:b w:val="0"/>
          <w:bCs w:val="0"/>
          <w:i w:val="0"/>
          <w:caps w:val="0"/>
          <w:color w:val="136EC2"/>
          <w:spacing w:val="0"/>
          <w:sz w:val="24"/>
          <w:szCs w:val="24"/>
          <w:u w:val="none"/>
          <w:shd w:val="clear" w:fill="FFFFFF"/>
        </w:rPr>
        <w:instrText xml:space="preserve"> HYPERLINK "https://baike.baidu.com/item/%E6%B6%AA%E6%B1%9F/4919309" \t "https://baike.baidu.com/item/%E5%B0%84%E6%B4%AA/_blank" </w:instrText>
      </w:r>
      <w:r>
        <w:rPr>
          <w:rFonts w:hint="default" w:ascii="Arial" w:hAnsi="Arial" w:eastAsia="宋体" w:cs="Arial"/>
          <w:b w:val="0"/>
          <w:bCs w:val="0"/>
          <w:i w:val="0"/>
          <w:caps w:val="0"/>
          <w:color w:val="136EC2"/>
          <w:spacing w:val="0"/>
          <w:sz w:val="24"/>
          <w:szCs w:val="24"/>
          <w:u w:val="none"/>
          <w:shd w:val="clear" w:fill="FFFFFF"/>
        </w:rPr>
        <w:fldChar w:fldCharType="separate"/>
      </w:r>
      <w:r>
        <w:rPr>
          <w:rStyle w:val="26"/>
          <w:rFonts w:hint="default" w:ascii="Arial" w:hAnsi="Arial" w:eastAsia="宋体" w:cs="Arial"/>
          <w:b w:val="0"/>
          <w:bCs w:val="0"/>
          <w:i w:val="0"/>
          <w:caps w:val="0"/>
          <w:color w:val="136EC2"/>
          <w:spacing w:val="0"/>
          <w:sz w:val="24"/>
          <w:szCs w:val="24"/>
          <w:u w:val="none"/>
          <w:shd w:val="clear" w:fill="FFFFFF"/>
        </w:rPr>
        <w:t>涪江</w:t>
      </w:r>
      <w:r>
        <w:rPr>
          <w:rFonts w:hint="default" w:ascii="Arial" w:hAnsi="Arial" w:eastAsia="宋体" w:cs="Arial"/>
          <w:b w:val="0"/>
          <w:bCs w:val="0"/>
          <w:i w:val="0"/>
          <w:caps w:val="0"/>
          <w:color w:val="136EC2"/>
          <w:spacing w:val="0"/>
          <w:sz w:val="24"/>
          <w:szCs w:val="24"/>
          <w:u w:val="none"/>
          <w:shd w:val="clear" w:fill="FFFFFF"/>
        </w:rPr>
        <w:fldChar w:fldCharType="end"/>
      </w:r>
      <w:r>
        <w:rPr>
          <w:rFonts w:hint="default" w:ascii="Arial" w:hAnsi="Arial" w:eastAsia="宋体" w:cs="Arial"/>
          <w:b w:val="0"/>
          <w:bCs w:val="0"/>
          <w:i w:val="0"/>
          <w:caps w:val="0"/>
          <w:color w:val="333333"/>
          <w:spacing w:val="0"/>
          <w:sz w:val="24"/>
          <w:szCs w:val="24"/>
          <w:shd w:val="clear" w:fill="FFFFFF"/>
        </w:rPr>
        <w:t>上游，遂宁以北，位于</w:t>
      </w:r>
      <w:r>
        <w:rPr>
          <w:rFonts w:hint="default" w:ascii="Arial" w:hAnsi="Arial" w:eastAsia="宋体" w:cs="Arial"/>
          <w:b w:val="0"/>
          <w:bCs w:val="0"/>
          <w:i w:val="0"/>
          <w:caps w:val="0"/>
          <w:color w:val="136EC2"/>
          <w:spacing w:val="0"/>
          <w:sz w:val="24"/>
          <w:szCs w:val="24"/>
          <w:u w:val="none"/>
          <w:shd w:val="clear" w:fill="FFFFFF"/>
        </w:rPr>
        <w:fldChar w:fldCharType="begin"/>
      </w:r>
      <w:r>
        <w:rPr>
          <w:rFonts w:hint="default" w:ascii="Arial" w:hAnsi="Arial" w:eastAsia="宋体" w:cs="Arial"/>
          <w:b w:val="0"/>
          <w:bCs w:val="0"/>
          <w:i w:val="0"/>
          <w:caps w:val="0"/>
          <w:color w:val="136EC2"/>
          <w:spacing w:val="0"/>
          <w:sz w:val="24"/>
          <w:szCs w:val="24"/>
          <w:u w:val="none"/>
          <w:shd w:val="clear" w:fill="FFFFFF"/>
        </w:rPr>
        <w:instrText xml:space="preserve"> HYPERLINK "https://baike.baidu.com/item/%E6%88%90%E6%B8%9D%E7%BB%8F%E6%B5%8E%E5%8C%BA" \t "https://baike.baidu.com/item/%E5%B0%84%E6%B4%AA/_blank" </w:instrText>
      </w:r>
      <w:r>
        <w:rPr>
          <w:rFonts w:hint="default" w:ascii="Arial" w:hAnsi="Arial" w:eastAsia="宋体" w:cs="Arial"/>
          <w:b w:val="0"/>
          <w:bCs w:val="0"/>
          <w:i w:val="0"/>
          <w:caps w:val="0"/>
          <w:color w:val="136EC2"/>
          <w:spacing w:val="0"/>
          <w:sz w:val="24"/>
          <w:szCs w:val="24"/>
          <w:u w:val="none"/>
          <w:shd w:val="clear" w:fill="FFFFFF"/>
        </w:rPr>
        <w:fldChar w:fldCharType="separate"/>
      </w:r>
      <w:r>
        <w:rPr>
          <w:rStyle w:val="26"/>
          <w:rFonts w:hint="default" w:ascii="Arial" w:hAnsi="Arial" w:eastAsia="宋体" w:cs="Arial"/>
          <w:b w:val="0"/>
          <w:bCs w:val="0"/>
          <w:i w:val="0"/>
          <w:caps w:val="0"/>
          <w:color w:val="136EC2"/>
          <w:spacing w:val="0"/>
          <w:sz w:val="24"/>
          <w:szCs w:val="24"/>
          <w:u w:val="none"/>
          <w:shd w:val="clear" w:fill="FFFFFF"/>
        </w:rPr>
        <w:t>成渝经济区</w:t>
      </w:r>
      <w:r>
        <w:rPr>
          <w:rFonts w:hint="default" w:ascii="Arial" w:hAnsi="Arial" w:eastAsia="宋体" w:cs="Arial"/>
          <w:b w:val="0"/>
          <w:bCs w:val="0"/>
          <w:i w:val="0"/>
          <w:caps w:val="0"/>
          <w:color w:val="136EC2"/>
          <w:spacing w:val="0"/>
          <w:sz w:val="24"/>
          <w:szCs w:val="24"/>
          <w:u w:val="none"/>
          <w:shd w:val="clear" w:fill="FFFFFF"/>
        </w:rPr>
        <w:fldChar w:fldCharType="end"/>
      </w:r>
      <w:r>
        <w:rPr>
          <w:rFonts w:hint="default" w:ascii="Arial" w:hAnsi="Arial" w:eastAsia="宋体" w:cs="Arial"/>
          <w:b w:val="0"/>
          <w:bCs w:val="0"/>
          <w:i w:val="0"/>
          <w:caps w:val="0"/>
          <w:color w:val="333333"/>
          <w:spacing w:val="0"/>
          <w:sz w:val="24"/>
          <w:szCs w:val="24"/>
          <w:shd w:val="clear" w:fill="FFFFFF"/>
        </w:rPr>
        <w:t>北弧中心。射洪市人民政府驻</w:t>
      </w:r>
      <w:r>
        <w:rPr>
          <w:rFonts w:hint="default" w:ascii="Arial" w:hAnsi="Arial" w:eastAsia="宋体" w:cs="Arial"/>
          <w:b w:val="0"/>
          <w:bCs w:val="0"/>
          <w:i w:val="0"/>
          <w:caps w:val="0"/>
          <w:color w:val="136EC2"/>
          <w:spacing w:val="0"/>
          <w:sz w:val="24"/>
          <w:szCs w:val="24"/>
          <w:u w:val="none"/>
          <w:shd w:val="clear" w:fill="FFFFFF"/>
        </w:rPr>
        <w:fldChar w:fldCharType="begin"/>
      </w:r>
      <w:r>
        <w:rPr>
          <w:rFonts w:hint="default" w:ascii="Arial" w:hAnsi="Arial" w:eastAsia="宋体" w:cs="Arial"/>
          <w:b w:val="0"/>
          <w:bCs w:val="0"/>
          <w:i w:val="0"/>
          <w:caps w:val="0"/>
          <w:color w:val="136EC2"/>
          <w:spacing w:val="0"/>
          <w:sz w:val="24"/>
          <w:szCs w:val="24"/>
          <w:u w:val="none"/>
          <w:shd w:val="clear" w:fill="FFFFFF"/>
        </w:rPr>
        <w:instrText xml:space="preserve"> HYPERLINK "https://baike.baidu.com/item/%E5%AD%90%E6%98%82%E8%A1%97%E9%81%93/23630159" \t "https://baike.baidu.com/item/%E5%B0%84%E6%B4%AA/_blank" </w:instrText>
      </w:r>
      <w:r>
        <w:rPr>
          <w:rFonts w:hint="default" w:ascii="Arial" w:hAnsi="Arial" w:eastAsia="宋体" w:cs="Arial"/>
          <w:b w:val="0"/>
          <w:bCs w:val="0"/>
          <w:i w:val="0"/>
          <w:caps w:val="0"/>
          <w:color w:val="136EC2"/>
          <w:spacing w:val="0"/>
          <w:sz w:val="24"/>
          <w:szCs w:val="24"/>
          <w:u w:val="none"/>
          <w:shd w:val="clear" w:fill="FFFFFF"/>
        </w:rPr>
        <w:fldChar w:fldCharType="separate"/>
      </w:r>
      <w:r>
        <w:rPr>
          <w:rStyle w:val="26"/>
          <w:rFonts w:hint="default" w:ascii="Arial" w:hAnsi="Arial" w:eastAsia="宋体" w:cs="Arial"/>
          <w:b w:val="0"/>
          <w:bCs w:val="0"/>
          <w:i w:val="0"/>
          <w:caps w:val="0"/>
          <w:color w:val="136EC2"/>
          <w:spacing w:val="0"/>
          <w:sz w:val="24"/>
          <w:szCs w:val="24"/>
          <w:u w:val="none"/>
          <w:shd w:val="clear" w:fill="FFFFFF"/>
        </w:rPr>
        <w:t>子昂街道</w:t>
      </w:r>
      <w:r>
        <w:rPr>
          <w:rFonts w:hint="default" w:ascii="Arial" w:hAnsi="Arial" w:eastAsia="宋体" w:cs="Arial"/>
          <w:b w:val="0"/>
          <w:bCs w:val="0"/>
          <w:i w:val="0"/>
          <w:caps w:val="0"/>
          <w:color w:val="136EC2"/>
          <w:spacing w:val="0"/>
          <w:sz w:val="24"/>
          <w:szCs w:val="24"/>
          <w:u w:val="none"/>
          <w:shd w:val="clear" w:fill="FFFFFF"/>
        </w:rPr>
        <w:fldChar w:fldCharType="end"/>
      </w:r>
      <w:r>
        <w:rPr>
          <w:rFonts w:hint="default" w:ascii="Arial" w:hAnsi="Arial" w:eastAsia="宋体" w:cs="Arial"/>
          <w:b w:val="0"/>
          <w:bCs w:val="0"/>
          <w:i w:val="0"/>
          <w:caps w:val="0"/>
          <w:color w:val="333333"/>
          <w:spacing w:val="0"/>
          <w:sz w:val="24"/>
          <w:szCs w:val="24"/>
          <w:shd w:val="clear" w:fill="FFFFFF"/>
        </w:rPr>
        <w:t>人民街106号。射洪市幅员面积1496平方公里。射洪气候属四川盆地亚热带湿润气候区，气候温和、四季分明。截至2019年，射洪市辖21个乡镇，2个街道；共有446个行政村（587个自然村），69个社区。截至2017年，射洪市户籍总人口97.24万。</w:t>
      </w:r>
    </w:p>
    <w:p>
      <w:pPr>
        <w:spacing w:line="600" w:lineRule="exact"/>
        <w:ind w:firstLine="560"/>
        <w:rPr>
          <w:rFonts w:hint="default" w:ascii="Arial" w:hAnsi="Arial" w:eastAsia="宋体" w:cs="Arial"/>
          <w:b w:val="0"/>
          <w:bCs w:val="0"/>
          <w:i w:val="0"/>
          <w:caps w:val="0"/>
          <w:color w:val="333333"/>
          <w:spacing w:val="0"/>
          <w:sz w:val="24"/>
          <w:szCs w:val="24"/>
          <w:shd w:val="clear" w:fill="FFFFFF"/>
        </w:rPr>
      </w:pPr>
      <w:r>
        <w:rPr>
          <w:rFonts w:hint="eastAsia" w:ascii="Arial" w:hAnsi="Arial" w:eastAsia="宋体" w:cs="Arial"/>
          <w:b w:val="0"/>
          <w:bCs w:val="0"/>
          <w:i w:val="0"/>
          <w:caps w:val="0"/>
          <w:color w:val="136EC2"/>
          <w:spacing w:val="0"/>
          <w:sz w:val="24"/>
          <w:szCs w:val="24"/>
          <w:u w:val="none"/>
          <w:shd w:val="clear" w:fill="FFFFFF"/>
        </w:rPr>
        <w:fldChar w:fldCharType="begin"/>
      </w:r>
      <w:r>
        <w:rPr>
          <w:rFonts w:hint="eastAsia" w:ascii="Arial" w:hAnsi="Arial" w:eastAsia="宋体" w:cs="Arial"/>
          <w:b w:val="0"/>
          <w:bCs w:val="0"/>
          <w:i w:val="0"/>
          <w:caps w:val="0"/>
          <w:color w:val="136EC2"/>
          <w:spacing w:val="0"/>
          <w:sz w:val="24"/>
          <w:szCs w:val="24"/>
          <w:u w:val="none"/>
          <w:shd w:val="clear" w:fill="FFFFFF"/>
        </w:rPr>
        <w:instrText xml:space="preserve"> HYPERLINK "https://baike.baidu.com/item/%E5%8D%97%E5%8C%97%E6%9C%9D/6417" \t "https://baike.baidu.com/item/%E5%B0%84%E6%B4%AA/_blank" </w:instrText>
      </w:r>
      <w:r>
        <w:rPr>
          <w:rFonts w:hint="eastAsia" w:ascii="Arial" w:hAnsi="Arial" w:eastAsia="宋体" w:cs="Arial"/>
          <w:b w:val="0"/>
          <w:bCs w:val="0"/>
          <w:i w:val="0"/>
          <w:caps w:val="0"/>
          <w:color w:val="136EC2"/>
          <w:spacing w:val="0"/>
          <w:sz w:val="24"/>
          <w:szCs w:val="24"/>
          <w:u w:val="none"/>
          <w:shd w:val="clear" w:fill="FFFFFF"/>
        </w:rPr>
        <w:fldChar w:fldCharType="separate"/>
      </w:r>
      <w:r>
        <w:rPr>
          <w:rStyle w:val="26"/>
          <w:rFonts w:hint="default" w:ascii="Arial" w:hAnsi="Arial" w:eastAsia="宋体" w:cs="Arial"/>
          <w:b w:val="0"/>
          <w:bCs w:val="0"/>
          <w:i w:val="0"/>
          <w:caps w:val="0"/>
          <w:color w:val="136EC2"/>
          <w:spacing w:val="0"/>
          <w:sz w:val="24"/>
          <w:szCs w:val="24"/>
          <w:u w:val="none"/>
          <w:shd w:val="clear" w:fill="FFFFFF"/>
        </w:rPr>
        <w:t>南北朝</w:t>
      </w:r>
      <w:r>
        <w:rPr>
          <w:rFonts w:hint="default" w:ascii="Arial" w:hAnsi="Arial" w:eastAsia="宋体" w:cs="Arial"/>
          <w:b w:val="0"/>
          <w:bCs w:val="0"/>
          <w:i w:val="0"/>
          <w:caps w:val="0"/>
          <w:color w:val="136EC2"/>
          <w:spacing w:val="0"/>
          <w:sz w:val="24"/>
          <w:szCs w:val="24"/>
          <w:u w:val="none"/>
          <w:shd w:val="clear" w:fill="FFFFFF"/>
        </w:rPr>
        <w:fldChar w:fldCharType="end"/>
      </w:r>
      <w:r>
        <w:rPr>
          <w:rFonts w:hint="default" w:ascii="Arial" w:hAnsi="Arial" w:eastAsia="宋体" w:cs="Arial"/>
          <w:b w:val="0"/>
          <w:bCs w:val="0"/>
          <w:i w:val="0"/>
          <w:caps w:val="0"/>
          <w:color w:val="333333"/>
          <w:spacing w:val="0"/>
          <w:sz w:val="24"/>
          <w:szCs w:val="24"/>
          <w:shd w:val="clear" w:fill="FFFFFF"/>
        </w:rPr>
        <w:t>西魏时期，始置射江县，得名源于其境内有射江。于</w:t>
      </w:r>
      <w:r>
        <w:rPr>
          <w:rFonts w:hint="default" w:ascii="Arial" w:hAnsi="Arial" w:eastAsia="宋体" w:cs="Arial"/>
          <w:b w:val="0"/>
          <w:bCs w:val="0"/>
          <w:i w:val="0"/>
          <w:caps w:val="0"/>
          <w:color w:val="136EC2"/>
          <w:spacing w:val="0"/>
          <w:sz w:val="24"/>
          <w:szCs w:val="24"/>
          <w:u w:val="none"/>
          <w:shd w:val="clear" w:fill="FFFFFF"/>
        </w:rPr>
        <w:fldChar w:fldCharType="begin"/>
      </w:r>
      <w:r>
        <w:rPr>
          <w:rFonts w:hint="default" w:ascii="Arial" w:hAnsi="Arial" w:eastAsia="宋体" w:cs="Arial"/>
          <w:b w:val="0"/>
          <w:bCs w:val="0"/>
          <w:i w:val="0"/>
          <w:caps w:val="0"/>
          <w:color w:val="136EC2"/>
          <w:spacing w:val="0"/>
          <w:sz w:val="24"/>
          <w:szCs w:val="24"/>
          <w:u w:val="none"/>
          <w:shd w:val="clear" w:fill="FFFFFF"/>
        </w:rPr>
        <w:instrText xml:space="preserve"> HYPERLINK "https://baike.baidu.com/item/%E5%8C%97%E5%91%A8/913798" \t "https://baike.baidu.com/item/%E5%B0%84%E6%B4%AA/_blank" </w:instrText>
      </w:r>
      <w:r>
        <w:rPr>
          <w:rFonts w:hint="default" w:ascii="Arial" w:hAnsi="Arial" w:eastAsia="宋体" w:cs="Arial"/>
          <w:b w:val="0"/>
          <w:bCs w:val="0"/>
          <w:i w:val="0"/>
          <w:caps w:val="0"/>
          <w:color w:val="136EC2"/>
          <w:spacing w:val="0"/>
          <w:sz w:val="24"/>
          <w:szCs w:val="24"/>
          <w:u w:val="none"/>
          <w:shd w:val="clear" w:fill="FFFFFF"/>
        </w:rPr>
        <w:fldChar w:fldCharType="separate"/>
      </w:r>
      <w:r>
        <w:rPr>
          <w:rStyle w:val="26"/>
          <w:rFonts w:hint="default" w:ascii="Arial" w:hAnsi="Arial" w:eastAsia="宋体" w:cs="Arial"/>
          <w:b w:val="0"/>
          <w:bCs w:val="0"/>
          <w:i w:val="0"/>
          <w:caps w:val="0"/>
          <w:color w:val="136EC2"/>
          <w:spacing w:val="0"/>
          <w:sz w:val="24"/>
          <w:szCs w:val="24"/>
          <w:u w:val="none"/>
          <w:shd w:val="clear" w:fill="FFFFFF"/>
        </w:rPr>
        <w:t>北周</w:t>
      </w:r>
      <w:r>
        <w:rPr>
          <w:rFonts w:hint="default" w:ascii="Arial" w:hAnsi="Arial" w:eastAsia="宋体" w:cs="Arial"/>
          <w:b w:val="0"/>
          <w:bCs w:val="0"/>
          <w:i w:val="0"/>
          <w:caps w:val="0"/>
          <w:color w:val="136EC2"/>
          <w:spacing w:val="0"/>
          <w:sz w:val="24"/>
          <w:szCs w:val="24"/>
          <w:u w:val="none"/>
          <w:shd w:val="clear" w:fill="FFFFFF"/>
        </w:rPr>
        <w:fldChar w:fldCharType="end"/>
      </w:r>
      <w:r>
        <w:rPr>
          <w:rFonts w:hint="default" w:ascii="Arial" w:hAnsi="Arial" w:eastAsia="宋体" w:cs="Arial"/>
          <w:b w:val="0"/>
          <w:bCs w:val="0"/>
          <w:i w:val="0"/>
          <w:caps w:val="0"/>
          <w:color w:val="333333"/>
          <w:spacing w:val="0"/>
          <w:sz w:val="24"/>
          <w:szCs w:val="24"/>
          <w:shd w:val="clear" w:fill="FFFFFF"/>
        </w:rPr>
        <w:t>（557年）改名射洪县，故称“西魏置县，北周正名”。射洪市境内建立县级政权已有1500多年历史。</w:t>
      </w:r>
      <w:r>
        <w:rPr>
          <w:rFonts w:hint="default" w:ascii="Arial" w:hAnsi="Arial" w:eastAsia="宋体" w:cs="Arial"/>
          <w:b w:val="0"/>
          <w:bCs w:val="0"/>
          <w:i w:val="0"/>
          <w:caps w:val="0"/>
          <w:color w:val="3366CC"/>
          <w:spacing w:val="0"/>
          <w:sz w:val="24"/>
          <w:szCs w:val="24"/>
          <w:shd w:val="clear" w:fill="FFFFFF"/>
          <w:vertAlign w:val="baseline"/>
        </w:rPr>
        <w:t> </w:t>
      </w:r>
      <w:r>
        <w:rPr>
          <w:rFonts w:hint="default" w:ascii="Arial" w:hAnsi="Arial" w:eastAsia="宋体" w:cs="Arial"/>
          <w:b w:val="0"/>
          <w:bCs w:val="0"/>
          <w:i w:val="0"/>
          <w:caps w:val="0"/>
          <w:color w:val="333333"/>
          <w:spacing w:val="0"/>
          <w:sz w:val="24"/>
          <w:szCs w:val="24"/>
          <w:shd w:val="clear" w:fill="FFFFFF"/>
        </w:rPr>
        <w:t>2019年8月16日，经报国务院批准，同意撤销射洪县，设立射洪市</w:t>
      </w:r>
      <w:r>
        <w:rPr>
          <w:rFonts w:hint="default" w:ascii="Arial" w:hAnsi="Arial" w:eastAsia="宋体" w:cs="Arial"/>
          <w:b w:val="0"/>
          <w:bCs w:val="0"/>
          <w:i w:val="0"/>
          <w:caps w:val="0"/>
          <w:color w:val="3366CC"/>
          <w:spacing w:val="0"/>
          <w:sz w:val="24"/>
          <w:szCs w:val="24"/>
          <w:shd w:val="clear" w:fill="FFFFFF"/>
          <w:vertAlign w:val="baseline"/>
        </w:rPr>
        <w:t> </w:t>
      </w:r>
      <w:r>
        <w:rPr>
          <w:rFonts w:hint="default" w:ascii="Arial" w:hAnsi="Arial" w:eastAsia="宋体" w:cs="Arial"/>
          <w:b w:val="0"/>
          <w:bCs w:val="0"/>
          <w:i w:val="0"/>
          <w:caps w:val="0"/>
          <w:color w:val="333333"/>
          <w:spacing w:val="0"/>
          <w:sz w:val="24"/>
          <w:szCs w:val="24"/>
          <w:shd w:val="clear" w:fill="FFFFFF"/>
        </w:rPr>
        <w:t>。射洪市是中国民间诗画艺术之乡”，</w:t>
      </w:r>
      <w:r>
        <w:rPr>
          <w:rFonts w:hint="default" w:ascii="Arial" w:hAnsi="Arial" w:eastAsia="宋体" w:cs="Arial"/>
          <w:b w:val="0"/>
          <w:bCs w:val="0"/>
          <w:i w:val="0"/>
          <w:caps w:val="0"/>
          <w:color w:val="3366CC"/>
          <w:spacing w:val="0"/>
          <w:sz w:val="24"/>
          <w:szCs w:val="24"/>
          <w:shd w:val="clear" w:fill="FFFFFF"/>
          <w:vertAlign w:val="baseline"/>
        </w:rPr>
        <w:t> </w:t>
      </w:r>
      <w:r>
        <w:rPr>
          <w:rFonts w:hint="default" w:ascii="Arial" w:hAnsi="Arial" w:eastAsia="宋体" w:cs="Arial"/>
          <w:b w:val="0"/>
          <w:bCs w:val="0"/>
          <w:i w:val="0"/>
          <w:caps w:val="0"/>
          <w:color w:val="333333"/>
          <w:spacing w:val="0"/>
          <w:sz w:val="24"/>
          <w:szCs w:val="24"/>
          <w:shd w:val="clear" w:fill="FFFFFF"/>
        </w:rPr>
        <w:t>是“全国科技进步示范县”、“全国科普示范县”，</w:t>
      </w:r>
      <w:r>
        <w:rPr>
          <w:rFonts w:hint="default" w:ascii="Arial" w:hAnsi="Arial" w:eastAsia="宋体" w:cs="Arial"/>
          <w:b w:val="0"/>
          <w:bCs w:val="0"/>
          <w:i w:val="0"/>
          <w:caps w:val="0"/>
          <w:color w:val="3366CC"/>
          <w:spacing w:val="0"/>
          <w:sz w:val="24"/>
          <w:szCs w:val="24"/>
          <w:shd w:val="clear" w:fill="FFFFFF"/>
          <w:vertAlign w:val="baseline"/>
        </w:rPr>
        <w:t> </w:t>
      </w:r>
      <w:r>
        <w:rPr>
          <w:rFonts w:hint="default" w:ascii="Arial" w:hAnsi="Arial" w:eastAsia="宋体" w:cs="Arial"/>
          <w:b w:val="0"/>
          <w:bCs w:val="0"/>
          <w:i w:val="0"/>
          <w:caps w:val="0"/>
          <w:color w:val="333333"/>
          <w:spacing w:val="0"/>
          <w:sz w:val="24"/>
          <w:szCs w:val="24"/>
          <w:shd w:val="clear" w:fill="FFFFFF"/>
        </w:rPr>
        <w:t>素有“子昂故里，诗酒之乡”美誉。</w:t>
      </w:r>
      <w:r>
        <w:rPr>
          <w:rFonts w:hint="default" w:ascii="Arial" w:hAnsi="Arial" w:eastAsia="宋体" w:cs="Arial"/>
          <w:b w:val="0"/>
          <w:bCs w:val="0"/>
          <w:i w:val="0"/>
          <w:caps w:val="0"/>
          <w:color w:val="3366CC"/>
          <w:spacing w:val="0"/>
          <w:sz w:val="24"/>
          <w:szCs w:val="24"/>
          <w:shd w:val="clear" w:fill="FFFFFF"/>
          <w:vertAlign w:val="baseline"/>
        </w:rPr>
        <w:t> </w:t>
      </w:r>
      <w:r>
        <w:rPr>
          <w:rFonts w:hint="default" w:ascii="Arial" w:hAnsi="Arial" w:eastAsia="宋体" w:cs="Arial"/>
          <w:b w:val="0"/>
          <w:bCs w:val="0"/>
          <w:i w:val="0"/>
          <w:caps w:val="0"/>
          <w:color w:val="333333"/>
          <w:spacing w:val="0"/>
          <w:sz w:val="24"/>
          <w:szCs w:val="24"/>
          <w:shd w:val="clear" w:fill="FFFFFF"/>
        </w:rPr>
        <w:t>射洪市境内有</w:t>
      </w:r>
      <w:r>
        <w:rPr>
          <w:rFonts w:hint="default" w:ascii="Arial" w:hAnsi="Arial" w:eastAsia="宋体" w:cs="Arial"/>
          <w:b w:val="0"/>
          <w:bCs w:val="0"/>
          <w:i w:val="0"/>
          <w:caps w:val="0"/>
          <w:color w:val="136EC2"/>
          <w:spacing w:val="0"/>
          <w:sz w:val="24"/>
          <w:szCs w:val="24"/>
          <w:u w:val="none"/>
          <w:shd w:val="clear" w:fill="FFFFFF"/>
        </w:rPr>
        <w:fldChar w:fldCharType="begin"/>
      </w:r>
      <w:r>
        <w:rPr>
          <w:rFonts w:hint="default" w:ascii="Arial" w:hAnsi="Arial" w:eastAsia="宋体" w:cs="Arial"/>
          <w:b w:val="0"/>
          <w:bCs w:val="0"/>
          <w:i w:val="0"/>
          <w:caps w:val="0"/>
          <w:color w:val="136EC2"/>
          <w:spacing w:val="0"/>
          <w:sz w:val="24"/>
          <w:szCs w:val="24"/>
          <w:u w:val="none"/>
          <w:shd w:val="clear" w:fill="FFFFFF"/>
        </w:rPr>
        <w:instrText xml:space="preserve"> HYPERLINK "https://baike.baidu.com/item/%E9%99%88%E5%AD%90%E6%98%82%E8%AF%BB%E4%B9%A6%E5%8F%B0/3548978" \t "https://baike.baidu.com/item/%E5%B0%84%E6%B4%AA/_blank" </w:instrText>
      </w:r>
      <w:r>
        <w:rPr>
          <w:rFonts w:hint="default" w:ascii="Arial" w:hAnsi="Arial" w:eastAsia="宋体" w:cs="Arial"/>
          <w:b w:val="0"/>
          <w:bCs w:val="0"/>
          <w:i w:val="0"/>
          <w:caps w:val="0"/>
          <w:color w:val="136EC2"/>
          <w:spacing w:val="0"/>
          <w:sz w:val="24"/>
          <w:szCs w:val="24"/>
          <w:u w:val="none"/>
          <w:shd w:val="clear" w:fill="FFFFFF"/>
        </w:rPr>
        <w:fldChar w:fldCharType="separate"/>
      </w:r>
      <w:r>
        <w:rPr>
          <w:rStyle w:val="26"/>
          <w:rFonts w:hint="default" w:ascii="Arial" w:hAnsi="Arial" w:eastAsia="宋体" w:cs="Arial"/>
          <w:b w:val="0"/>
          <w:bCs w:val="0"/>
          <w:i w:val="0"/>
          <w:caps w:val="0"/>
          <w:color w:val="136EC2"/>
          <w:spacing w:val="0"/>
          <w:sz w:val="24"/>
          <w:szCs w:val="24"/>
          <w:u w:val="none"/>
          <w:shd w:val="clear" w:fill="FFFFFF"/>
        </w:rPr>
        <w:t>陈子昂读书台</w:t>
      </w:r>
      <w:r>
        <w:rPr>
          <w:rFonts w:hint="default" w:ascii="Arial" w:hAnsi="Arial" w:eastAsia="宋体" w:cs="Arial"/>
          <w:b w:val="0"/>
          <w:bCs w:val="0"/>
          <w:i w:val="0"/>
          <w:caps w:val="0"/>
          <w:color w:val="136EC2"/>
          <w:spacing w:val="0"/>
          <w:sz w:val="24"/>
          <w:szCs w:val="24"/>
          <w:u w:val="none"/>
          <w:shd w:val="clear" w:fill="FFFFFF"/>
        </w:rPr>
        <w:fldChar w:fldCharType="end"/>
      </w:r>
      <w:r>
        <w:rPr>
          <w:rFonts w:hint="default" w:ascii="Arial" w:hAnsi="Arial" w:eastAsia="宋体" w:cs="Arial"/>
          <w:b w:val="0"/>
          <w:bCs w:val="0"/>
          <w:i w:val="0"/>
          <w:caps w:val="0"/>
          <w:color w:val="333333"/>
          <w:spacing w:val="0"/>
          <w:sz w:val="24"/>
          <w:szCs w:val="24"/>
          <w:shd w:val="clear" w:fill="FFFFFF"/>
        </w:rPr>
        <w:t>、</w:t>
      </w:r>
      <w:r>
        <w:rPr>
          <w:rFonts w:hint="default" w:ascii="Arial" w:hAnsi="Arial" w:eastAsia="宋体" w:cs="Arial"/>
          <w:b w:val="0"/>
          <w:bCs w:val="0"/>
          <w:i w:val="0"/>
          <w:caps w:val="0"/>
          <w:color w:val="136EC2"/>
          <w:spacing w:val="0"/>
          <w:sz w:val="24"/>
          <w:szCs w:val="24"/>
          <w:u w:val="none"/>
          <w:shd w:val="clear" w:fill="FFFFFF"/>
        </w:rPr>
        <w:fldChar w:fldCharType="begin"/>
      </w:r>
      <w:r>
        <w:rPr>
          <w:rFonts w:hint="default" w:ascii="Arial" w:hAnsi="Arial" w:eastAsia="宋体" w:cs="Arial"/>
          <w:b w:val="0"/>
          <w:bCs w:val="0"/>
          <w:i w:val="0"/>
          <w:caps w:val="0"/>
          <w:color w:val="136EC2"/>
          <w:spacing w:val="0"/>
          <w:sz w:val="24"/>
          <w:szCs w:val="24"/>
          <w:u w:val="none"/>
          <w:shd w:val="clear" w:fill="FFFFFF"/>
        </w:rPr>
        <w:instrText xml:space="preserve"> HYPERLINK "https://baike.baidu.com/item/%E6%A5%9E%E4%B8%A5%E9%98%81/5065393" \t "https://baike.baidu.com/item/%E5%B0%84%E6%B4%AA/_blank" </w:instrText>
      </w:r>
      <w:r>
        <w:rPr>
          <w:rFonts w:hint="default" w:ascii="Arial" w:hAnsi="Arial" w:eastAsia="宋体" w:cs="Arial"/>
          <w:b w:val="0"/>
          <w:bCs w:val="0"/>
          <w:i w:val="0"/>
          <w:caps w:val="0"/>
          <w:color w:val="136EC2"/>
          <w:spacing w:val="0"/>
          <w:sz w:val="24"/>
          <w:szCs w:val="24"/>
          <w:u w:val="none"/>
          <w:shd w:val="clear" w:fill="FFFFFF"/>
        </w:rPr>
        <w:fldChar w:fldCharType="separate"/>
      </w:r>
      <w:r>
        <w:rPr>
          <w:rStyle w:val="26"/>
          <w:rFonts w:hint="default" w:ascii="Arial" w:hAnsi="Arial" w:eastAsia="宋体" w:cs="Arial"/>
          <w:b w:val="0"/>
          <w:bCs w:val="0"/>
          <w:i w:val="0"/>
          <w:caps w:val="0"/>
          <w:color w:val="136EC2"/>
          <w:spacing w:val="0"/>
          <w:sz w:val="24"/>
          <w:szCs w:val="24"/>
          <w:u w:val="none"/>
          <w:shd w:val="clear" w:fill="FFFFFF"/>
        </w:rPr>
        <w:t>楞严阁</w:t>
      </w:r>
      <w:r>
        <w:rPr>
          <w:rFonts w:hint="default" w:ascii="Arial" w:hAnsi="Arial" w:eastAsia="宋体" w:cs="Arial"/>
          <w:b w:val="0"/>
          <w:bCs w:val="0"/>
          <w:i w:val="0"/>
          <w:caps w:val="0"/>
          <w:color w:val="136EC2"/>
          <w:spacing w:val="0"/>
          <w:sz w:val="24"/>
          <w:szCs w:val="24"/>
          <w:u w:val="none"/>
          <w:shd w:val="clear" w:fill="FFFFFF"/>
        </w:rPr>
        <w:fldChar w:fldCharType="end"/>
      </w:r>
      <w:r>
        <w:rPr>
          <w:rFonts w:hint="default" w:ascii="Arial" w:hAnsi="Arial" w:eastAsia="宋体" w:cs="Arial"/>
          <w:b w:val="0"/>
          <w:bCs w:val="0"/>
          <w:i w:val="0"/>
          <w:caps w:val="0"/>
          <w:color w:val="333333"/>
          <w:spacing w:val="0"/>
          <w:sz w:val="24"/>
          <w:szCs w:val="24"/>
          <w:shd w:val="clear" w:fill="FFFFFF"/>
        </w:rPr>
        <w:t>等古迹</w:t>
      </w:r>
      <w:r>
        <w:rPr>
          <w:rFonts w:hint="default" w:ascii="Arial" w:hAnsi="Arial" w:eastAsia="宋体" w:cs="Arial"/>
          <w:b w:val="0"/>
          <w:bCs w:val="0"/>
          <w:i w:val="0"/>
          <w:caps w:val="0"/>
          <w:color w:val="3366CC"/>
          <w:spacing w:val="0"/>
          <w:sz w:val="24"/>
          <w:szCs w:val="24"/>
          <w:shd w:val="clear" w:fill="FFFFFF"/>
          <w:vertAlign w:val="baseline"/>
        </w:rPr>
        <w:t> </w:t>
      </w:r>
      <w:r>
        <w:rPr>
          <w:rFonts w:hint="default" w:ascii="Arial" w:hAnsi="Arial" w:eastAsia="宋体" w:cs="Arial"/>
          <w:b w:val="0"/>
          <w:bCs w:val="0"/>
          <w:i w:val="0"/>
          <w:caps w:val="0"/>
          <w:color w:val="333333"/>
          <w:spacing w:val="0"/>
          <w:sz w:val="24"/>
          <w:szCs w:val="24"/>
          <w:shd w:val="clear" w:fill="FFFFFF"/>
        </w:rPr>
        <w:t>，有硅化木化石群</w:t>
      </w:r>
      <w:r>
        <w:rPr>
          <w:rFonts w:hint="default" w:ascii="Arial" w:hAnsi="Arial" w:eastAsia="宋体" w:cs="Arial"/>
          <w:b w:val="0"/>
          <w:bCs w:val="0"/>
          <w:i w:val="0"/>
          <w:caps w:val="0"/>
          <w:color w:val="136EC2"/>
          <w:spacing w:val="0"/>
          <w:sz w:val="24"/>
          <w:szCs w:val="24"/>
          <w:u w:val="none"/>
          <w:shd w:val="clear" w:fill="FFFFFF"/>
        </w:rPr>
        <w:fldChar w:fldCharType="begin"/>
      </w:r>
      <w:r>
        <w:rPr>
          <w:rFonts w:hint="default" w:ascii="Arial" w:hAnsi="Arial" w:eastAsia="宋体" w:cs="Arial"/>
          <w:b w:val="0"/>
          <w:bCs w:val="0"/>
          <w:i w:val="0"/>
          <w:caps w:val="0"/>
          <w:color w:val="136EC2"/>
          <w:spacing w:val="0"/>
          <w:sz w:val="24"/>
          <w:szCs w:val="24"/>
          <w:u w:val="none"/>
          <w:shd w:val="clear" w:fill="FFFFFF"/>
        </w:rPr>
        <w:instrText xml:space="preserve"> HYPERLINK "https://baike.baidu.com/item/%E5%9C%B0%E8%B4%A8%E9%81%97%E8%BF%B9/10493833" \t "https://baike.baidu.com/item/%E5%B0%84%E6%B4%AA/_blank" </w:instrText>
      </w:r>
      <w:r>
        <w:rPr>
          <w:rFonts w:hint="default" w:ascii="Arial" w:hAnsi="Arial" w:eastAsia="宋体" w:cs="Arial"/>
          <w:b w:val="0"/>
          <w:bCs w:val="0"/>
          <w:i w:val="0"/>
          <w:caps w:val="0"/>
          <w:color w:val="136EC2"/>
          <w:spacing w:val="0"/>
          <w:sz w:val="24"/>
          <w:szCs w:val="24"/>
          <w:u w:val="none"/>
          <w:shd w:val="clear" w:fill="FFFFFF"/>
        </w:rPr>
        <w:fldChar w:fldCharType="separate"/>
      </w:r>
      <w:r>
        <w:rPr>
          <w:rStyle w:val="26"/>
          <w:rFonts w:hint="default" w:ascii="Arial" w:hAnsi="Arial" w:eastAsia="宋体" w:cs="Arial"/>
          <w:b w:val="0"/>
          <w:bCs w:val="0"/>
          <w:i w:val="0"/>
          <w:caps w:val="0"/>
          <w:color w:val="136EC2"/>
          <w:spacing w:val="0"/>
          <w:sz w:val="24"/>
          <w:szCs w:val="24"/>
          <w:u w:val="none"/>
          <w:shd w:val="clear" w:fill="FFFFFF"/>
        </w:rPr>
        <w:t>地质遗迹</w:t>
      </w:r>
      <w:r>
        <w:rPr>
          <w:rFonts w:hint="default" w:ascii="Arial" w:hAnsi="Arial" w:eastAsia="宋体" w:cs="Arial"/>
          <w:b w:val="0"/>
          <w:bCs w:val="0"/>
          <w:i w:val="0"/>
          <w:caps w:val="0"/>
          <w:color w:val="136EC2"/>
          <w:spacing w:val="0"/>
          <w:sz w:val="24"/>
          <w:szCs w:val="24"/>
          <w:u w:val="none"/>
          <w:shd w:val="clear" w:fill="FFFFFF"/>
        </w:rPr>
        <w:fldChar w:fldCharType="end"/>
      </w:r>
      <w:r>
        <w:rPr>
          <w:rFonts w:hint="default" w:ascii="Arial" w:hAnsi="Arial" w:eastAsia="宋体" w:cs="Arial"/>
          <w:b w:val="0"/>
          <w:bCs w:val="0"/>
          <w:i w:val="0"/>
          <w:caps w:val="0"/>
          <w:color w:val="333333"/>
          <w:spacing w:val="0"/>
          <w:sz w:val="24"/>
          <w:szCs w:val="24"/>
          <w:shd w:val="clear" w:fill="FFFFFF"/>
        </w:rPr>
        <w:t>，</w:t>
      </w:r>
      <w:r>
        <w:rPr>
          <w:rFonts w:hint="default" w:ascii="Arial" w:hAnsi="Arial" w:eastAsia="宋体" w:cs="Arial"/>
          <w:b w:val="0"/>
          <w:bCs w:val="0"/>
          <w:i w:val="0"/>
          <w:caps w:val="0"/>
          <w:color w:val="3366CC"/>
          <w:spacing w:val="0"/>
          <w:sz w:val="24"/>
          <w:szCs w:val="24"/>
          <w:shd w:val="clear" w:fill="FFFFFF"/>
          <w:vertAlign w:val="baseline"/>
        </w:rPr>
        <w:t> </w:t>
      </w:r>
      <w:r>
        <w:rPr>
          <w:rFonts w:hint="default" w:ascii="Arial" w:hAnsi="Arial" w:eastAsia="宋体" w:cs="Arial"/>
          <w:b w:val="0"/>
          <w:bCs w:val="0"/>
          <w:i w:val="0"/>
          <w:caps w:val="0"/>
          <w:color w:val="333333"/>
          <w:spacing w:val="0"/>
          <w:sz w:val="24"/>
          <w:szCs w:val="24"/>
          <w:shd w:val="clear" w:fill="FFFFFF"/>
        </w:rPr>
        <w:t>有</w:t>
      </w:r>
      <w:r>
        <w:rPr>
          <w:rFonts w:hint="default" w:ascii="Arial" w:hAnsi="Arial" w:eastAsia="宋体" w:cs="Arial"/>
          <w:b w:val="0"/>
          <w:bCs w:val="0"/>
          <w:i w:val="0"/>
          <w:caps w:val="0"/>
          <w:color w:val="136EC2"/>
          <w:spacing w:val="0"/>
          <w:sz w:val="24"/>
          <w:szCs w:val="24"/>
          <w:u w:val="none"/>
          <w:shd w:val="clear" w:fill="FFFFFF"/>
        </w:rPr>
        <w:fldChar w:fldCharType="begin"/>
      </w:r>
      <w:r>
        <w:rPr>
          <w:rFonts w:hint="default" w:ascii="Arial" w:hAnsi="Arial" w:eastAsia="宋体" w:cs="Arial"/>
          <w:b w:val="0"/>
          <w:bCs w:val="0"/>
          <w:i w:val="0"/>
          <w:caps w:val="0"/>
          <w:color w:val="136EC2"/>
          <w:spacing w:val="0"/>
          <w:sz w:val="24"/>
          <w:szCs w:val="24"/>
          <w:u w:val="none"/>
          <w:shd w:val="clear" w:fill="FFFFFF"/>
        </w:rPr>
        <w:instrText xml:space="preserve"> HYPERLINK "https://baike.baidu.com/item/%E5%AD%90%E6%98%82%E6%95%85%E9%87%8C%E6%96%87%E5%8C%96%E6%97%85%E6%B8%B8%E5%8C%BA/5955195" \t "https://baike.baidu.com/item/%E5%B0%84%E6%B4%AA/_blank" </w:instrText>
      </w:r>
      <w:r>
        <w:rPr>
          <w:rFonts w:hint="default" w:ascii="Arial" w:hAnsi="Arial" w:eastAsia="宋体" w:cs="Arial"/>
          <w:b w:val="0"/>
          <w:bCs w:val="0"/>
          <w:i w:val="0"/>
          <w:caps w:val="0"/>
          <w:color w:val="136EC2"/>
          <w:spacing w:val="0"/>
          <w:sz w:val="24"/>
          <w:szCs w:val="24"/>
          <w:u w:val="none"/>
          <w:shd w:val="clear" w:fill="FFFFFF"/>
        </w:rPr>
        <w:fldChar w:fldCharType="separate"/>
      </w:r>
      <w:r>
        <w:rPr>
          <w:rStyle w:val="26"/>
          <w:rFonts w:hint="default" w:ascii="Arial" w:hAnsi="Arial" w:eastAsia="宋体" w:cs="Arial"/>
          <w:b w:val="0"/>
          <w:bCs w:val="0"/>
          <w:i w:val="0"/>
          <w:caps w:val="0"/>
          <w:color w:val="136EC2"/>
          <w:spacing w:val="0"/>
          <w:sz w:val="24"/>
          <w:szCs w:val="24"/>
          <w:u w:val="none"/>
          <w:shd w:val="clear" w:fill="FFFFFF"/>
        </w:rPr>
        <w:t>子昂故里文化旅游区</w:t>
      </w:r>
      <w:r>
        <w:rPr>
          <w:rFonts w:hint="default" w:ascii="Arial" w:hAnsi="Arial" w:eastAsia="宋体" w:cs="Arial"/>
          <w:b w:val="0"/>
          <w:bCs w:val="0"/>
          <w:i w:val="0"/>
          <w:caps w:val="0"/>
          <w:color w:val="136EC2"/>
          <w:spacing w:val="0"/>
          <w:sz w:val="24"/>
          <w:szCs w:val="24"/>
          <w:u w:val="none"/>
          <w:shd w:val="clear" w:fill="FFFFFF"/>
        </w:rPr>
        <w:fldChar w:fldCharType="end"/>
      </w:r>
      <w:r>
        <w:rPr>
          <w:rFonts w:hint="default" w:ascii="Arial" w:hAnsi="Arial" w:eastAsia="宋体" w:cs="Arial"/>
          <w:b w:val="0"/>
          <w:bCs w:val="0"/>
          <w:i w:val="0"/>
          <w:caps w:val="0"/>
          <w:color w:val="333333"/>
          <w:spacing w:val="0"/>
          <w:sz w:val="24"/>
          <w:szCs w:val="24"/>
          <w:shd w:val="clear" w:fill="FFFFFF"/>
        </w:rPr>
        <w:t>、</w:t>
      </w:r>
      <w:r>
        <w:rPr>
          <w:rFonts w:hint="default" w:ascii="Arial" w:hAnsi="Arial" w:eastAsia="宋体" w:cs="Arial"/>
          <w:b w:val="0"/>
          <w:bCs w:val="0"/>
          <w:i w:val="0"/>
          <w:caps w:val="0"/>
          <w:color w:val="3366CC"/>
          <w:spacing w:val="0"/>
          <w:sz w:val="24"/>
          <w:szCs w:val="24"/>
          <w:shd w:val="clear" w:fill="FFFFFF"/>
          <w:vertAlign w:val="baseline"/>
        </w:rPr>
        <w:t> </w:t>
      </w:r>
      <w:r>
        <w:rPr>
          <w:rFonts w:hint="default" w:ascii="Arial" w:hAnsi="Arial" w:eastAsia="宋体" w:cs="Arial"/>
          <w:b w:val="0"/>
          <w:bCs w:val="0"/>
          <w:i w:val="0"/>
          <w:caps w:val="0"/>
          <w:color w:val="333333"/>
          <w:spacing w:val="0"/>
          <w:sz w:val="24"/>
          <w:szCs w:val="24"/>
          <w:shd w:val="clear" w:fill="FFFFFF"/>
        </w:rPr>
        <w:t>金华山、</w:t>
      </w:r>
      <w:r>
        <w:rPr>
          <w:rFonts w:hint="default" w:ascii="Arial" w:hAnsi="Arial" w:eastAsia="宋体" w:cs="Arial"/>
          <w:b w:val="0"/>
          <w:bCs w:val="0"/>
          <w:i w:val="0"/>
          <w:caps w:val="0"/>
          <w:color w:val="3366CC"/>
          <w:spacing w:val="0"/>
          <w:sz w:val="24"/>
          <w:szCs w:val="24"/>
          <w:shd w:val="clear" w:fill="FFFFFF"/>
          <w:vertAlign w:val="baseline"/>
        </w:rPr>
        <w:t> </w:t>
      </w:r>
      <w:r>
        <w:rPr>
          <w:rFonts w:hint="default" w:ascii="Arial" w:hAnsi="Arial" w:eastAsia="宋体" w:cs="Arial"/>
          <w:b w:val="0"/>
          <w:bCs w:val="0"/>
          <w:i w:val="0"/>
          <w:caps w:val="0"/>
          <w:color w:val="333333"/>
          <w:spacing w:val="0"/>
          <w:sz w:val="24"/>
          <w:szCs w:val="24"/>
          <w:shd w:val="clear" w:fill="FFFFFF"/>
        </w:rPr>
        <w:t>太和镇磨嘴村乡村旅游示范带、</w:t>
      </w:r>
      <w:r>
        <w:rPr>
          <w:rFonts w:hint="default" w:ascii="Arial" w:hAnsi="Arial" w:eastAsia="宋体" w:cs="Arial"/>
          <w:b w:val="0"/>
          <w:bCs w:val="0"/>
          <w:i w:val="0"/>
          <w:caps w:val="0"/>
          <w:color w:val="3366CC"/>
          <w:spacing w:val="0"/>
          <w:sz w:val="24"/>
          <w:szCs w:val="24"/>
          <w:shd w:val="clear" w:fill="FFFFFF"/>
          <w:vertAlign w:val="baseline"/>
        </w:rPr>
        <w:t> </w:t>
      </w:r>
      <w:r>
        <w:rPr>
          <w:rFonts w:hint="default" w:ascii="Arial" w:hAnsi="Arial" w:eastAsia="宋体" w:cs="Arial"/>
          <w:b w:val="0"/>
          <w:bCs w:val="0"/>
          <w:i w:val="0"/>
          <w:caps w:val="0"/>
          <w:color w:val="333333"/>
          <w:spacing w:val="0"/>
          <w:sz w:val="24"/>
          <w:szCs w:val="24"/>
          <w:shd w:val="clear" w:fill="FFFFFF"/>
        </w:rPr>
        <w:t>桃花山风景区、</w:t>
      </w:r>
      <w:r>
        <w:rPr>
          <w:rFonts w:hint="default" w:ascii="Arial" w:hAnsi="Arial" w:eastAsia="宋体" w:cs="Arial"/>
          <w:b w:val="0"/>
          <w:bCs w:val="0"/>
          <w:i w:val="0"/>
          <w:caps w:val="0"/>
          <w:color w:val="3366CC"/>
          <w:spacing w:val="0"/>
          <w:sz w:val="24"/>
          <w:szCs w:val="24"/>
          <w:shd w:val="clear" w:fill="FFFFFF"/>
          <w:vertAlign w:val="baseline"/>
        </w:rPr>
        <w:t> </w:t>
      </w:r>
      <w:r>
        <w:rPr>
          <w:rFonts w:hint="default" w:ascii="Arial" w:hAnsi="Arial" w:eastAsia="宋体" w:cs="Arial"/>
          <w:b w:val="0"/>
          <w:bCs w:val="0"/>
          <w:i w:val="0"/>
          <w:caps w:val="0"/>
          <w:color w:val="333333"/>
          <w:spacing w:val="0"/>
          <w:sz w:val="24"/>
          <w:szCs w:val="24"/>
          <w:shd w:val="clear" w:fill="FFFFFF"/>
        </w:rPr>
        <w:t>螺湖自然景观</w:t>
      </w:r>
      <w:r>
        <w:rPr>
          <w:rFonts w:hint="default" w:ascii="Arial" w:hAnsi="Arial" w:eastAsia="宋体" w:cs="Arial"/>
          <w:b w:val="0"/>
          <w:bCs w:val="0"/>
          <w:i w:val="0"/>
          <w:caps w:val="0"/>
          <w:color w:val="3366CC"/>
          <w:spacing w:val="0"/>
          <w:sz w:val="24"/>
          <w:szCs w:val="24"/>
          <w:shd w:val="clear" w:fill="FFFFFF"/>
          <w:vertAlign w:val="baseline"/>
        </w:rPr>
        <w:t> </w:t>
      </w:r>
      <w:r>
        <w:rPr>
          <w:rFonts w:hint="default" w:ascii="Arial" w:hAnsi="Arial" w:eastAsia="宋体" w:cs="Arial"/>
          <w:b w:val="0"/>
          <w:bCs w:val="0"/>
          <w:i w:val="0"/>
          <w:caps w:val="0"/>
          <w:color w:val="333333"/>
          <w:spacing w:val="0"/>
          <w:sz w:val="24"/>
          <w:szCs w:val="24"/>
          <w:shd w:val="clear" w:fill="FFFFFF"/>
        </w:rPr>
        <w:t>等景点。</w:t>
      </w:r>
    </w:p>
    <w:p>
      <w:pPr>
        <w:spacing w:line="600" w:lineRule="exact"/>
        <w:ind w:firstLine="560"/>
        <w:rPr>
          <w:rFonts w:ascii="Times New Roman" w:hAnsi="Times New Roman" w:eastAsia="仿宋"/>
          <w:b w:val="0"/>
          <w:bCs w:val="0"/>
          <w:color w:val="000000"/>
          <w:sz w:val="24"/>
          <w:szCs w:val="24"/>
        </w:rPr>
      </w:pPr>
      <w:r>
        <w:rPr>
          <w:rFonts w:hint="eastAsia" w:ascii="Times New Roman" w:hAnsi="Times New Roman" w:eastAsia="仿宋"/>
          <w:b w:val="0"/>
          <w:bCs w:val="0"/>
          <w:color w:val="000000"/>
          <w:sz w:val="24"/>
          <w:szCs w:val="24"/>
        </w:rPr>
        <w:t>（</w:t>
      </w:r>
      <w:r>
        <w:rPr>
          <w:rFonts w:ascii="Times New Roman" w:hAnsi="Times New Roman" w:eastAsia="仿宋"/>
          <w:b w:val="0"/>
          <w:bCs w:val="0"/>
          <w:color w:val="000000"/>
          <w:sz w:val="24"/>
          <w:szCs w:val="24"/>
        </w:rPr>
        <w:t>2</w:t>
      </w:r>
      <w:r>
        <w:rPr>
          <w:rFonts w:hint="eastAsia" w:ascii="Times New Roman" w:hAnsi="Times New Roman" w:eastAsia="仿宋"/>
          <w:b w:val="0"/>
          <w:bCs w:val="0"/>
          <w:color w:val="000000"/>
          <w:sz w:val="24"/>
          <w:szCs w:val="24"/>
        </w:rPr>
        <w:t>）地形地貌</w:t>
      </w:r>
    </w:p>
    <w:p>
      <w:pPr>
        <w:spacing w:line="600" w:lineRule="exact"/>
        <w:ind w:firstLine="560"/>
        <w:rPr>
          <w:rFonts w:hint="default" w:ascii="Arial" w:hAnsi="Arial" w:eastAsia="宋体" w:cs="Arial"/>
          <w:b w:val="0"/>
          <w:bCs w:val="0"/>
          <w:i w:val="0"/>
          <w:caps w:val="0"/>
          <w:color w:val="333333"/>
          <w:spacing w:val="0"/>
          <w:sz w:val="24"/>
          <w:szCs w:val="24"/>
          <w:shd w:val="clear" w:fill="FFFFFF"/>
        </w:rPr>
      </w:pPr>
      <w:r>
        <w:rPr>
          <w:rFonts w:hint="eastAsia" w:ascii="Arial" w:hAnsi="Arial" w:eastAsia="宋体" w:cs="Arial"/>
          <w:b w:val="0"/>
          <w:bCs w:val="0"/>
          <w:i w:val="0"/>
          <w:caps w:val="0"/>
          <w:color w:val="333333"/>
          <w:spacing w:val="0"/>
          <w:sz w:val="24"/>
          <w:szCs w:val="24"/>
          <w:shd w:val="clear" w:fill="FFFFFF"/>
        </w:rPr>
        <w:t>射洪市境呈心脏形，西北高，东南低。射洪市为典型的红层</w:t>
      </w:r>
      <w:r>
        <w:rPr>
          <w:rFonts w:hint="default" w:ascii="Arial" w:hAnsi="Arial" w:eastAsia="宋体" w:cs="Arial"/>
          <w:b w:val="0"/>
          <w:bCs w:val="0"/>
          <w:i w:val="0"/>
          <w:caps w:val="0"/>
          <w:color w:val="136EC2"/>
          <w:spacing w:val="0"/>
          <w:sz w:val="24"/>
          <w:szCs w:val="24"/>
          <w:u w:val="none"/>
          <w:shd w:val="clear" w:fill="FFFFFF"/>
        </w:rPr>
        <w:fldChar w:fldCharType="begin"/>
      </w:r>
      <w:r>
        <w:rPr>
          <w:rFonts w:hint="default" w:ascii="Arial" w:hAnsi="Arial" w:eastAsia="宋体" w:cs="Arial"/>
          <w:b w:val="0"/>
          <w:bCs w:val="0"/>
          <w:i w:val="0"/>
          <w:caps w:val="0"/>
          <w:color w:val="136EC2"/>
          <w:spacing w:val="0"/>
          <w:sz w:val="24"/>
          <w:szCs w:val="24"/>
          <w:u w:val="none"/>
          <w:shd w:val="clear" w:fill="FFFFFF"/>
        </w:rPr>
        <w:instrText xml:space="preserve"> HYPERLINK "https://baike.baidu.com/item/%E4%B8%98%E9%99%B5%E5%9C%B0%E8%B2%8C/15753333" \t "https://baike.baidu.com/item/%E5%B0%84%E6%B4%AA/_blank" </w:instrText>
      </w:r>
      <w:r>
        <w:rPr>
          <w:rFonts w:hint="default" w:ascii="Arial" w:hAnsi="Arial" w:eastAsia="宋体" w:cs="Arial"/>
          <w:b w:val="0"/>
          <w:bCs w:val="0"/>
          <w:i w:val="0"/>
          <w:caps w:val="0"/>
          <w:color w:val="136EC2"/>
          <w:spacing w:val="0"/>
          <w:sz w:val="24"/>
          <w:szCs w:val="24"/>
          <w:u w:val="none"/>
          <w:shd w:val="clear" w:fill="FFFFFF"/>
        </w:rPr>
        <w:fldChar w:fldCharType="separate"/>
      </w:r>
      <w:r>
        <w:rPr>
          <w:rStyle w:val="26"/>
          <w:rFonts w:hint="default" w:ascii="Arial" w:hAnsi="Arial" w:eastAsia="宋体" w:cs="Arial"/>
          <w:b w:val="0"/>
          <w:bCs w:val="0"/>
          <w:i w:val="0"/>
          <w:caps w:val="0"/>
          <w:color w:val="136EC2"/>
          <w:spacing w:val="0"/>
          <w:sz w:val="24"/>
          <w:szCs w:val="24"/>
          <w:u w:val="none"/>
          <w:shd w:val="clear" w:fill="FFFFFF"/>
        </w:rPr>
        <w:t>丘陵地貌</w:t>
      </w:r>
      <w:r>
        <w:rPr>
          <w:rFonts w:hint="default" w:ascii="Arial" w:hAnsi="Arial" w:eastAsia="宋体" w:cs="Arial"/>
          <w:b w:val="0"/>
          <w:bCs w:val="0"/>
          <w:i w:val="0"/>
          <w:caps w:val="0"/>
          <w:color w:val="136EC2"/>
          <w:spacing w:val="0"/>
          <w:sz w:val="24"/>
          <w:szCs w:val="24"/>
          <w:u w:val="none"/>
          <w:shd w:val="clear" w:fill="FFFFFF"/>
        </w:rPr>
        <w:fldChar w:fldCharType="end"/>
      </w:r>
      <w:r>
        <w:rPr>
          <w:rFonts w:hint="default" w:ascii="Arial" w:hAnsi="Arial" w:eastAsia="宋体" w:cs="Arial"/>
          <w:b w:val="0"/>
          <w:bCs w:val="0"/>
          <w:i w:val="0"/>
          <w:caps w:val="0"/>
          <w:color w:val="333333"/>
          <w:spacing w:val="0"/>
          <w:sz w:val="24"/>
          <w:szCs w:val="24"/>
          <w:shd w:val="clear" w:fill="FFFFFF"/>
        </w:rPr>
        <w:t>，以丘陵为主，地貌类型有低山、高丘、中丘、低丘、河谷地貌。丘陵地区占89.1%（其中低山地貌占县幅员面积的15.4%，高丘地貌占市幅员面积的35.4%，中丘地貌占市幅员面积的17.3%，低丘地貌占市幅员面积的21%）河谷地貌市幅员面积的10.9%。境内海拔最高点674米（金华镇武东天宝寨），海拔最低点299米（</w:t>
      </w:r>
      <w:r>
        <w:rPr>
          <w:rFonts w:hint="default" w:ascii="Arial" w:hAnsi="Arial" w:eastAsia="宋体" w:cs="Arial"/>
          <w:b w:val="0"/>
          <w:bCs w:val="0"/>
          <w:i w:val="0"/>
          <w:caps w:val="0"/>
          <w:color w:val="136EC2"/>
          <w:spacing w:val="0"/>
          <w:sz w:val="24"/>
          <w:szCs w:val="24"/>
          <w:u w:val="none"/>
          <w:shd w:val="clear" w:fill="FFFFFF"/>
        </w:rPr>
        <w:fldChar w:fldCharType="begin"/>
      </w:r>
      <w:r>
        <w:rPr>
          <w:rFonts w:hint="default" w:ascii="Arial" w:hAnsi="Arial" w:eastAsia="宋体" w:cs="Arial"/>
          <w:b w:val="0"/>
          <w:bCs w:val="0"/>
          <w:i w:val="0"/>
          <w:caps w:val="0"/>
          <w:color w:val="136EC2"/>
          <w:spacing w:val="0"/>
          <w:sz w:val="24"/>
          <w:szCs w:val="24"/>
          <w:u w:val="none"/>
          <w:shd w:val="clear" w:fill="FFFFFF"/>
        </w:rPr>
        <w:instrText xml:space="preserve"> HYPERLINK "https://baike.baidu.com/item/%E6%B2%B1%E7%89%8C%E9%95%87/10890916" \t "https://baike.baidu.com/item/%E5%B0%84%E6%B4%AA/_blank" </w:instrText>
      </w:r>
      <w:r>
        <w:rPr>
          <w:rFonts w:hint="default" w:ascii="Arial" w:hAnsi="Arial" w:eastAsia="宋体" w:cs="Arial"/>
          <w:b w:val="0"/>
          <w:bCs w:val="0"/>
          <w:i w:val="0"/>
          <w:caps w:val="0"/>
          <w:color w:val="136EC2"/>
          <w:spacing w:val="0"/>
          <w:sz w:val="24"/>
          <w:szCs w:val="24"/>
          <w:u w:val="none"/>
          <w:shd w:val="clear" w:fill="FFFFFF"/>
        </w:rPr>
        <w:fldChar w:fldCharType="separate"/>
      </w:r>
      <w:r>
        <w:rPr>
          <w:rStyle w:val="26"/>
          <w:rFonts w:hint="default" w:ascii="Arial" w:hAnsi="Arial" w:eastAsia="宋体" w:cs="Arial"/>
          <w:b w:val="0"/>
          <w:bCs w:val="0"/>
          <w:i w:val="0"/>
          <w:caps w:val="0"/>
          <w:color w:val="136EC2"/>
          <w:spacing w:val="0"/>
          <w:sz w:val="24"/>
          <w:szCs w:val="24"/>
          <w:u w:val="none"/>
          <w:shd w:val="clear" w:fill="FFFFFF"/>
        </w:rPr>
        <w:t>沱牌镇</w:t>
      </w:r>
      <w:r>
        <w:rPr>
          <w:rFonts w:hint="default" w:ascii="Arial" w:hAnsi="Arial" w:eastAsia="宋体" w:cs="Arial"/>
          <w:b w:val="0"/>
          <w:bCs w:val="0"/>
          <w:i w:val="0"/>
          <w:caps w:val="0"/>
          <w:color w:val="136EC2"/>
          <w:spacing w:val="0"/>
          <w:sz w:val="24"/>
          <w:szCs w:val="24"/>
          <w:u w:val="none"/>
          <w:shd w:val="clear" w:fill="FFFFFF"/>
        </w:rPr>
        <w:fldChar w:fldCharType="end"/>
      </w:r>
      <w:r>
        <w:rPr>
          <w:rFonts w:hint="default" w:ascii="Arial" w:hAnsi="Arial" w:eastAsia="宋体" w:cs="Arial"/>
          <w:b w:val="0"/>
          <w:bCs w:val="0"/>
          <w:i w:val="0"/>
          <w:caps w:val="0"/>
          <w:color w:val="333333"/>
          <w:spacing w:val="0"/>
          <w:sz w:val="24"/>
          <w:szCs w:val="24"/>
          <w:shd w:val="clear" w:fill="FFFFFF"/>
        </w:rPr>
        <w:t>涪江出口处），相对高差375米。</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tLeast"/>
        <w:ind w:left="0" w:right="0" w:firstLine="481" w:firstLineChars="200"/>
        <w:rPr>
          <w:rFonts w:hint="default" w:ascii="Arial" w:hAnsi="Arial" w:eastAsia="宋体" w:cs="Arial"/>
          <w:i w:val="0"/>
          <w:caps w:val="0"/>
          <w:color w:val="333333"/>
          <w:spacing w:val="0"/>
          <w:sz w:val="24"/>
          <w:szCs w:val="24"/>
          <w:shd w:val="clear" w:fill="FFFFFF"/>
          <w:lang w:val="en-US" w:eastAsia="zh-CN"/>
        </w:rPr>
      </w:pPr>
    </w:p>
    <w:p>
      <w:pPr>
        <w:pStyle w:val="5"/>
        <w:spacing w:line="600" w:lineRule="exact"/>
        <w:rPr>
          <w:rFonts w:ascii="Times New Roman" w:hAnsi="Times New Roman" w:eastAsia="仿宋"/>
          <w:sz w:val="24"/>
          <w:szCs w:val="24"/>
        </w:rPr>
      </w:pPr>
      <w:bookmarkStart w:id="7" w:name="_Toc3884551"/>
      <w:r>
        <w:rPr>
          <w:rFonts w:hint="eastAsia" w:ascii="Times New Roman" w:hAnsi="Times New Roman" w:eastAsia="仿宋"/>
          <w:sz w:val="24"/>
          <w:szCs w:val="24"/>
        </w:rPr>
        <w:t>二、农村人居环境整治已有基础条件</w:t>
      </w:r>
      <w:bookmarkEnd w:id="7"/>
    </w:p>
    <w:p>
      <w:pPr>
        <w:spacing w:line="600" w:lineRule="exact"/>
        <w:ind w:firstLine="560"/>
        <w:outlineLvl w:val="3"/>
        <w:rPr>
          <w:rFonts w:ascii="Times New Roman" w:hAnsi="Times New Roman" w:eastAsia="仿宋"/>
          <w:sz w:val="24"/>
          <w:szCs w:val="24"/>
        </w:rPr>
      </w:pPr>
      <w:r>
        <w:rPr>
          <w:rFonts w:hint="eastAsia" w:ascii="Times New Roman" w:hAnsi="Times New Roman" w:eastAsia="仿宋"/>
          <w:sz w:val="24"/>
          <w:szCs w:val="24"/>
        </w:rPr>
        <w:t>（一）农村基础设施路、水、电、气、信、防</w:t>
      </w:r>
      <w:r>
        <w:rPr>
          <w:rFonts w:ascii="Times New Roman" w:hAnsi="Times New Roman" w:eastAsia="仿宋"/>
          <w:sz w:val="24"/>
          <w:szCs w:val="24"/>
        </w:rPr>
        <w:t>“</w:t>
      </w:r>
      <w:r>
        <w:rPr>
          <w:rFonts w:hint="eastAsia" w:ascii="Times New Roman" w:hAnsi="Times New Roman" w:eastAsia="仿宋"/>
          <w:sz w:val="24"/>
          <w:szCs w:val="24"/>
        </w:rPr>
        <w:t>六网</w:t>
      </w:r>
      <w:r>
        <w:rPr>
          <w:rFonts w:ascii="Times New Roman" w:hAnsi="Times New Roman" w:eastAsia="仿宋"/>
          <w:sz w:val="24"/>
          <w:szCs w:val="24"/>
        </w:rPr>
        <w:t>”</w:t>
      </w:r>
      <w:r>
        <w:rPr>
          <w:rFonts w:hint="eastAsia" w:ascii="Times New Roman" w:hAnsi="Times New Roman" w:eastAsia="仿宋"/>
          <w:sz w:val="24"/>
          <w:szCs w:val="24"/>
        </w:rPr>
        <w:t>建设现状</w:t>
      </w:r>
    </w:p>
    <w:p>
      <w:pPr>
        <w:widowControl/>
        <w:spacing w:line="600" w:lineRule="exact"/>
        <w:ind w:firstLine="560" w:firstLineChars="0"/>
        <w:jc w:val="left"/>
        <w:rPr>
          <w:rFonts w:ascii="Times New Roman" w:hAnsi="Times New Roman" w:eastAsia="仿宋"/>
          <w:kern w:val="0"/>
          <w:sz w:val="24"/>
          <w:szCs w:val="24"/>
        </w:rPr>
      </w:pPr>
      <w:r>
        <w:rPr>
          <w:rFonts w:ascii="Times New Roman" w:hAnsi="Times New Roman" w:eastAsia="仿宋"/>
          <w:kern w:val="0"/>
          <w:sz w:val="24"/>
          <w:szCs w:val="24"/>
        </w:rPr>
        <w:t>1</w:t>
      </w:r>
      <w:r>
        <w:rPr>
          <w:rFonts w:hint="eastAsia" w:ascii="Times New Roman" w:hAnsi="Times New Roman" w:eastAsia="仿宋"/>
          <w:kern w:val="0"/>
          <w:sz w:val="24"/>
          <w:szCs w:val="24"/>
        </w:rPr>
        <w:t>、道路</w:t>
      </w:r>
    </w:p>
    <w:p>
      <w:pPr>
        <w:keepNext w:val="0"/>
        <w:keepLines w:val="0"/>
        <w:widowControl/>
        <w:suppressLineNumbers w:val="0"/>
        <w:shd w:val="clear" w:fill="FFFFFF"/>
        <w:spacing w:after="225" w:afterAutospacing="0" w:line="360" w:lineRule="atLeast"/>
        <w:ind w:left="0" w:firstLine="420"/>
        <w:jc w:val="left"/>
        <w:rPr>
          <w:rFonts w:hint="eastAsia" w:ascii="Arial" w:hAnsi="Arial" w:cs="Arial"/>
          <w:i w:val="0"/>
          <w:caps w:val="0"/>
          <w:color w:val="333333"/>
          <w:spacing w:val="0"/>
          <w:sz w:val="24"/>
          <w:szCs w:val="24"/>
        </w:rPr>
      </w:pPr>
      <w:r>
        <w:rPr>
          <w:rFonts w:hint="default" w:ascii="Arial" w:hAnsi="Arial" w:eastAsia="宋体" w:cs="Arial"/>
          <w:i w:val="0"/>
          <w:caps w:val="0"/>
          <w:color w:val="333333"/>
          <w:spacing w:val="0"/>
          <w:kern w:val="0"/>
          <w:sz w:val="24"/>
          <w:szCs w:val="24"/>
          <w:shd w:val="clear" w:fill="FFFFFF"/>
          <w:lang w:val="en-US" w:eastAsia="zh-CN" w:bidi="ar"/>
        </w:rPr>
        <w:t>射洪市公路通车里程2648.9公里（不含高速公路）。已建成</w:t>
      </w:r>
      <w:r>
        <w:rPr>
          <w:rFonts w:hint="default" w:ascii="Arial" w:hAnsi="Arial" w:eastAsia="宋体" w:cs="Arial"/>
          <w:i w:val="0"/>
          <w:caps w:val="0"/>
          <w:color w:val="136EC2"/>
          <w:spacing w:val="0"/>
          <w:kern w:val="0"/>
          <w:sz w:val="24"/>
          <w:szCs w:val="24"/>
          <w:u w:val="none"/>
          <w:shd w:val="clear" w:fill="FFFFFF"/>
          <w:lang w:val="en-US" w:eastAsia="zh-CN" w:bidi="ar"/>
        </w:rPr>
        <w:fldChar w:fldCharType="begin"/>
      </w:r>
      <w:r>
        <w:rPr>
          <w:rFonts w:hint="default" w:ascii="Arial" w:hAnsi="Arial" w:eastAsia="宋体" w:cs="Arial"/>
          <w:i w:val="0"/>
          <w:caps w:val="0"/>
          <w:color w:val="136EC2"/>
          <w:spacing w:val="0"/>
          <w:kern w:val="0"/>
          <w:sz w:val="24"/>
          <w:szCs w:val="24"/>
          <w:u w:val="none"/>
          <w:shd w:val="clear" w:fill="FFFFFF"/>
          <w:lang w:val="en-US" w:eastAsia="zh-CN" w:bidi="ar"/>
        </w:rPr>
        <w:instrText xml:space="preserve"> HYPERLINK "https://baike.baidu.com/item/%E7%BB%B5%E9%81%82%E9%AB%98%E9%80%9F/6219417" \t "https://baike.baidu.com/item/%E5%B0%84%E6%B4%AA/_blank" </w:instrText>
      </w:r>
      <w:r>
        <w:rPr>
          <w:rFonts w:hint="default" w:ascii="Arial" w:hAnsi="Arial" w:eastAsia="宋体" w:cs="Arial"/>
          <w:i w:val="0"/>
          <w:caps w:val="0"/>
          <w:color w:val="136EC2"/>
          <w:spacing w:val="0"/>
          <w:kern w:val="0"/>
          <w:sz w:val="24"/>
          <w:szCs w:val="24"/>
          <w:u w:val="none"/>
          <w:shd w:val="clear" w:fill="FFFFFF"/>
          <w:lang w:val="en-US" w:eastAsia="zh-CN" w:bidi="ar"/>
        </w:rPr>
        <w:fldChar w:fldCharType="separate"/>
      </w:r>
      <w:r>
        <w:rPr>
          <w:rStyle w:val="26"/>
          <w:rFonts w:hint="default" w:ascii="Arial" w:hAnsi="Arial" w:eastAsia="宋体" w:cs="Arial"/>
          <w:i w:val="0"/>
          <w:caps w:val="0"/>
          <w:color w:val="136EC2"/>
          <w:spacing w:val="0"/>
          <w:sz w:val="24"/>
          <w:szCs w:val="24"/>
          <w:u w:val="none"/>
          <w:shd w:val="clear" w:fill="FFFFFF"/>
        </w:rPr>
        <w:t>绵遂高速</w:t>
      </w:r>
      <w:r>
        <w:rPr>
          <w:rFonts w:hint="default" w:ascii="Arial" w:hAnsi="Arial" w:eastAsia="宋体" w:cs="Arial"/>
          <w:i w:val="0"/>
          <w:caps w:val="0"/>
          <w:color w:val="136EC2"/>
          <w:spacing w:val="0"/>
          <w:kern w:val="0"/>
          <w:sz w:val="24"/>
          <w:szCs w:val="24"/>
          <w:u w:val="none"/>
          <w:shd w:val="clear" w:fill="FFFFFF"/>
          <w:lang w:val="en-US" w:eastAsia="zh-CN" w:bidi="ar"/>
        </w:rPr>
        <w:fldChar w:fldCharType="end"/>
      </w:r>
      <w:r>
        <w:rPr>
          <w:rFonts w:hint="default" w:ascii="Arial" w:hAnsi="Arial" w:eastAsia="宋体" w:cs="Arial"/>
          <w:i w:val="0"/>
          <w:caps w:val="0"/>
          <w:color w:val="333333"/>
          <w:spacing w:val="0"/>
          <w:kern w:val="0"/>
          <w:sz w:val="24"/>
          <w:szCs w:val="24"/>
          <w:shd w:val="clear" w:fill="FFFFFF"/>
          <w:lang w:val="en-US" w:eastAsia="zh-CN" w:bidi="ar"/>
        </w:rPr>
        <w:t>射洪段，通车里程50公里，开设金华、玉太、市经开区3个出入口。成德南高速射洪段，通车里程6公里。</w:t>
      </w:r>
      <w:r>
        <w:rPr>
          <w:rFonts w:hint="default" w:ascii="Arial" w:hAnsi="Arial" w:eastAsia="宋体" w:cs="Arial"/>
          <w:i w:val="0"/>
          <w:caps w:val="0"/>
          <w:color w:val="136EC2"/>
          <w:spacing w:val="0"/>
          <w:kern w:val="0"/>
          <w:sz w:val="24"/>
          <w:szCs w:val="24"/>
          <w:u w:val="none"/>
          <w:shd w:val="clear" w:fill="FFFFFF"/>
          <w:lang w:val="en-US" w:eastAsia="zh-CN" w:bidi="ar"/>
        </w:rPr>
        <w:fldChar w:fldCharType="begin"/>
      </w:r>
      <w:r>
        <w:rPr>
          <w:rFonts w:hint="default" w:ascii="Arial" w:hAnsi="Arial" w:eastAsia="宋体" w:cs="Arial"/>
          <w:i w:val="0"/>
          <w:caps w:val="0"/>
          <w:color w:val="136EC2"/>
          <w:spacing w:val="0"/>
          <w:kern w:val="0"/>
          <w:sz w:val="24"/>
          <w:szCs w:val="24"/>
          <w:u w:val="none"/>
          <w:shd w:val="clear" w:fill="FFFFFF"/>
          <w:lang w:val="en-US" w:eastAsia="zh-CN" w:bidi="ar"/>
        </w:rPr>
        <w:instrText xml:space="preserve"> HYPERLINK "https://baike.baidu.com/item/%E5%9B%BD%E9%81%93/1181044" \t "https://baike.baidu.com/item/%E5%B0%84%E6%B4%AA/_blank" </w:instrText>
      </w:r>
      <w:r>
        <w:rPr>
          <w:rFonts w:hint="default" w:ascii="Arial" w:hAnsi="Arial" w:eastAsia="宋体" w:cs="Arial"/>
          <w:i w:val="0"/>
          <w:caps w:val="0"/>
          <w:color w:val="136EC2"/>
          <w:spacing w:val="0"/>
          <w:kern w:val="0"/>
          <w:sz w:val="24"/>
          <w:szCs w:val="24"/>
          <w:u w:val="none"/>
          <w:shd w:val="clear" w:fill="FFFFFF"/>
          <w:lang w:val="en-US" w:eastAsia="zh-CN" w:bidi="ar"/>
        </w:rPr>
        <w:fldChar w:fldCharType="separate"/>
      </w:r>
      <w:r>
        <w:rPr>
          <w:rStyle w:val="26"/>
          <w:rFonts w:hint="default" w:ascii="Arial" w:hAnsi="Arial" w:eastAsia="宋体" w:cs="Arial"/>
          <w:i w:val="0"/>
          <w:caps w:val="0"/>
          <w:color w:val="136EC2"/>
          <w:spacing w:val="0"/>
          <w:sz w:val="24"/>
          <w:szCs w:val="24"/>
          <w:u w:val="none"/>
          <w:shd w:val="clear" w:fill="FFFFFF"/>
        </w:rPr>
        <w:t>国道</w:t>
      </w:r>
      <w:r>
        <w:rPr>
          <w:rFonts w:hint="default" w:ascii="Arial" w:hAnsi="Arial" w:eastAsia="宋体" w:cs="Arial"/>
          <w:i w:val="0"/>
          <w:caps w:val="0"/>
          <w:color w:val="136EC2"/>
          <w:spacing w:val="0"/>
          <w:kern w:val="0"/>
          <w:sz w:val="24"/>
          <w:szCs w:val="24"/>
          <w:u w:val="none"/>
          <w:shd w:val="clear" w:fill="FFFFFF"/>
          <w:lang w:val="en-US" w:eastAsia="zh-CN" w:bidi="ar"/>
        </w:rPr>
        <w:fldChar w:fldCharType="end"/>
      </w:r>
      <w:r>
        <w:rPr>
          <w:rFonts w:hint="default" w:ascii="Arial" w:hAnsi="Arial" w:eastAsia="宋体" w:cs="Arial"/>
          <w:i w:val="0"/>
          <w:caps w:val="0"/>
          <w:color w:val="333333"/>
          <w:spacing w:val="0"/>
          <w:kern w:val="0"/>
          <w:sz w:val="24"/>
          <w:szCs w:val="24"/>
          <w:shd w:val="clear" w:fill="FFFFFF"/>
          <w:lang w:val="en-US" w:eastAsia="zh-CN" w:bidi="ar"/>
        </w:rPr>
        <w:t>247线（原省道205线）穿市而过（全长53.204公里），达到一级公路技术标准。建设有夏团路（全长30.574公里）、射蓬路（全长28.514公里）、盐射路（全长34.397公里）等十条县道公路，通车里程达267.261公里。建成乡道490.175公里，村道1832.325公里，专用公路5.935公里，实现100%乡镇和100%行政村通水泥（油）路。</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4"/>
          <w:szCs w:val="24"/>
        </w:rPr>
      </w:pPr>
      <w:r>
        <w:rPr>
          <w:rFonts w:hint="default" w:ascii="Arial" w:hAnsi="Arial" w:eastAsia="宋体" w:cs="Arial"/>
          <w:i w:val="0"/>
          <w:caps w:val="0"/>
          <w:color w:val="333333"/>
          <w:spacing w:val="0"/>
          <w:kern w:val="0"/>
          <w:sz w:val="24"/>
          <w:szCs w:val="24"/>
          <w:shd w:val="clear" w:fill="FFFFFF"/>
          <w:lang w:val="en-US" w:eastAsia="zh-CN" w:bidi="ar"/>
        </w:rPr>
        <w:t>截至2017年底，建成县级客运中心1个，乡镇客运站17个，基本建成射洪市内1小时交通圈。射洪市共有营运客车456辆，其中、高级客运车辆106辆，城市出租汽车239辆，城市公共汽车74辆，货运车辆2238辆。射洪市共有6座涪江大桥，4座梓江大桥。射洪市通航水域总长111.18公里，其中涪江航段75.13公里、梓江航段36.05公里；全市船舶拥有量327艘，乡镇渡口14处，砂石堆料场23处。</w:t>
      </w:r>
    </w:p>
    <w:p>
      <w:pPr>
        <w:widowControl/>
        <w:spacing w:line="600" w:lineRule="exact"/>
        <w:ind w:firstLine="561" w:firstLineChars="0"/>
        <w:jc w:val="left"/>
        <w:rPr>
          <w:rFonts w:ascii="Times New Roman" w:hAnsi="Times New Roman" w:eastAsia="仿宋"/>
          <w:bCs/>
          <w:sz w:val="24"/>
          <w:szCs w:val="24"/>
        </w:rPr>
      </w:pPr>
      <w:r>
        <w:rPr>
          <w:rFonts w:ascii="Times New Roman" w:hAnsi="Times New Roman" w:eastAsia="仿宋"/>
          <w:bCs/>
          <w:sz w:val="24"/>
          <w:szCs w:val="24"/>
        </w:rPr>
        <w:t xml:space="preserve"> 2</w:t>
      </w:r>
      <w:r>
        <w:rPr>
          <w:rFonts w:hint="eastAsia" w:ascii="Times New Roman" w:hAnsi="Times New Roman" w:eastAsia="仿宋"/>
          <w:bCs/>
          <w:sz w:val="24"/>
          <w:szCs w:val="24"/>
        </w:rPr>
        <w:t>、供水</w:t>
      </w:r>
    </w:p>
    <w:p>
      <w:pPr>
        <w:widowControl/>
        <w:spacing w:line="600" w:lineRule="exact"/>
        <w:ind w:firstLine="561" w:firstLineChars="0"/>
        <w:jc w:val="left"/>
        <w:rPr>
          <w:rFonts w:ascii="Times New Roman" w:hAnsi="Times New Roman" w:eastAsia="仿宋"/>
          <w:bCs/>
          <w:sz w:val="24"/>
          <w:szCs w:val="24"/>
        </w:rPr>
      </w:pPr>
      <w:r>
        <w:rPr>
          <w:rFonts w:hint="eastAsia" w:ascii="Times New Roman" w:hAnsi="Times New Roman" w:eastAsia="仿宋"/>
          <w:bCs/>
          <w:sz w:val="24"/>
          <w:szCs w:val="24"/>
          <w:lang w:val="en-US" w:eastAsia="zh-CN"/>
        </w:rPr>
        <w:t>射洪市城区及各个乡镇供水设备完备</w:t>
      </w:r>
      <w:r>
        <w:rPr>
          <w:rFonts w:hint="eastAsia" w:ascii="Times New Roman" w:hAnsi="Times New Roman" w:eastAsia="仿宋"/>
          <w:bCs/>
          <w:sz w:val="24"/>
          <w:szCs w:val="24"/>
        </w:rPr>
        <w:t>。</w:t>
      </w:r>
    </w:p>
    <w:p>
      <w:pPr>
        <w:adjustRightInd w:val="0"/>
        <w:spacing w:line="600" w:lineRule="exact"/>
        <w:ind w:firstLine="560"/>
        <w:rPr>
          <w:rFonts w:ascii="Times New Roman" w:hAnsi="Times New Roman" w:eastAsia="仿宋"/>
          <w:bCs/>
          <w:sz w:val="24"/>
          <w:szCs w:val="24"/>
        </w:rPr>
      </w:pPr>
      <w:r>
        <w:rPr>
          <w:rFonts w:ascii="Times New Roman" w:hAnsi="Times New Roman" w:eastAsia="仿宋"/>
          <w:bCs/>
          <w:sz w:val="24"/>
          <w:szCs w:val="24"/>
        </w:rPr>
        <w:t>3</w:t>
      </w:r>
      <w:r>
        <w:rPr>
          <w:rFonts w:hint="eastAsia" w:ascii="Times New Roman" w:hAnsi="Times New Roman" w:eastAsia="仿宋"/>
          <w:bCs/>
          <w:sz w:val="24"/>
          <w:szCs w:val="24"/>
        </w:rPr>
        <w:t>、供电</w:t>
      </w:r>
    </w:p>
    <w:p>
      <w:pPr>
        <w:spacing w:line="600" w:lineRule="exact"/>
        <w:ind w:firstLine="560"/>
        <w:rPr>
          <w:rFonts w:ascii="Times New Roman" w:hAnsi="Times New Roman" w:eastAsia="仿宋"/>
          <w:bCs/>
          <w:sz w:val="24"/>
          <w:szCs w:val="24"/>
        </w:rPr>
      </w:pPr>
      <w:r>
        <w:rPr>
          <w:rFonts w:hint="eastAsia" w:ascii="Times New Roman" w:hAnsi="Times New Roman" w:eastAsia="仿宋"/>
          <w:sz w:val="24"/>
          <w:szCs w:val="24"/>
          <w:lang w:val="en-US" w:eastAsia="zh-CN"/>
        </w:rPr>
        <w:t>射洪市供电完备</w:t>
      </w:r>
      <w:r>
        <w:rPr>
          <w:rFonts w:hint="eastAsia" w:ascii="Times New Roman" w:hAnsi="Times New Roman" w:eastAsia="仿宋"/>
          <w:bCs/>
          <w:sz w:val="24"/>
          <w:szCs w:val="24"/>
        </w:rPr>
        <w:t>。</w:t>
      </w:r>
    </w:p>
    <w:p>
      <w:pPr>
        <w:spacing w:line="600" w:lineRule="exact"/>
        <w:ind w:firstLine="560"/>
        <w:rPr>
          <w:rFonts w:ascii="Times New Roman" w:hAnsi="Times New Roman" w:eastAsia="仿宋"/>
          <w:bCs/>
          <w:sz w:val="24"/>
          <w:szCs w:val="24"/>
        </w:rPr>
      </w:pPr>
      <w:r>
        <w:rPr>
          <w:rFonts w:ascii="Times New Roman" w:hAnsi="Times New Roman" w:eastAsia="仿宋"/>
          <w:bCs/>
          <w:sz w:val="24"/>
          <w:szCs w:val="24"/>
        </w:rPr>
        <w:t>4</w:t>
      </w:r>
      <w:r>
        <w:rPr>
          <w:rFonts w:hint="eastAsia" w:ascii="Times New Roman" w:hAnsi="Times New Roman" w:eastAsia="仿宋"/>
          <w:bCs/>
          <w:sz w:val="24"/>
          <w:szCs w:val="24"/>
        </w:rPr>
        <w:t>、通气</w:t>
      </w:r>
    </w:p>
    <w:p>
      <w:pPr>
        <w:spacing w:line="600" w:lineRule="exact"/>
        <w:ind w:firstLine="560"/>
        <w:rPr>
          <w:rFonts w:ascii="Times New Roman" w:hAnsi="Times New Roman" w:eastAsia="仿宋"/>
          <w:bCs/>
          <w:sz w:val="24"/>
          <w:szCs w:val="24"/>
        </w:rPr>
      </w:pPr>
      <w:r>
        <w:rPr>
          <w:rFonts w:hint="eastAsia" w:ascii="Times New Roman" w:hAnsi="Times New Roman" w:eastAsia="仿宋"/>
          <w:bCs/>
          <w:sz w:val="24"/>
          <w:szCs w:val="24"/>
        </w:rPr>
        <w:t>全县部分乡村已通天然气。</w:t>
      </w:r>
    </w:p>
    <w:p>
      <w:pPr>
        <w:spacing w:line="600" w:lineRule="exact"/>
        <w:ind w:firstLine="560"/>
        <w:rPr>
          <w:rFonts w:ascii="Times New Roman" w:hAnsi="Times New Roman" w:eastAsia="仿宋"/>
          <w:bCs/>
          <w:sz w:val="24"/>
          <w:szCs w:val="24"/>
        </w:rPr>
      </w:pPr>
      <w:r>
        <w:rPr>
          <w:rFonts w:ascii="Times New Roman" w:hAnsi="Times New Roman" w:eastAsia="仿宋"/>
          <w:bCs/>
          <w:sz w:val="24"/>
          <w:szCs w:val="24"/>
        </w:rPr>
        <w:t>5</w:t>
      </w:r>
      <w:r>
        <w:rPr>
          <w:rFonts w:hint="eastAsia" w:ascii="Times New Roman" w:hAnsi="Times New Roman" w:eastAsia="仿宋"/>
          <w:bCs/>
          <w:sz w:val="24"/>
          <w:szCs w:val="24"/>
        </w:rPr>
        <w:t>、通信</w:t>
      </w:r>
    </w:p>
    <w:p>
      <w:pPr>
        <w:spacing w:line="600" w:lineRule="exact"/>
        <w:ind w:firstLine="560"/>
        <w:rPr>
          <w:rFonts w:ascii="Times New Roman" w:hAnsi="Times New Roman" w:eastAsia="仿宋"/>
          <w:bCs/>
          <w:sz w:val="24"/>
          <w:szCs w:val="24"/>
        </w:rPr>
      </w:pPr>
      <w:r>
        <w:rPr>
          <w:rFonts w:hint="eastAsia" w:ascii="Times New Roman" w:hAnsi="Times New Roman" w:eastAsia="仿宋"/>
          <w:bCs/>
          <w:sz w:val="24"/>
          <w:szCs w:val="24"/>
          <w:lang w:val="en-US" w:eastAsia="zh-CN"/>
        </w:rPr>
        <w:t>射洪市全市</w:t>
      </w:r>
      <w:r>
        <w:rPr>
          <w:rFonts w:hint="eastAsia" w:ascii="Times New Roman" w:hAnsi="Times New Roman" w:eastAsia="仿宋"/>
          <w:bCs/>
          <w:sz w:val="24"/>
          <w:szCs w:val="24"/>
        </w:rPr>
        <w:t>实现了</w:t>
      </w:r>
      <w:r>
        <w:rPr>
          <w:rFonts w:ascii="Times New Roman" w:hAnsi="Times New Roman" w:eastAsia="仿宋"/>
          <w:bCs/>
          <w:sz w:val="24"/>
          <w:szCs w:val="24"/>
        </w:rPr>
        <w:t>4G</w:t>
      </w:r>
      <w:r>
        <w:rPr>
          <w:rFonts w:hint="eastAsia" w:ascii="Times New Roman" w:hAnsi="Times New Roman" w:eastAsia="仿宋"/>
          <w:bCs/>
          <w:sz w:val="24"/>
          <w:szCs w:val="24"/>
        </w:rPr>
        <w:t>网络全覆盖，宽带通达所有行政村。</w:t>
      </w:r>
    </w:p>
    <w:p>
      <w:pPr>
        <w:spacing w:line="600" w:lineRule="exact"/>
        <w:ind w:firstLine="560"/>
        <w:rPr>
          <w:rFonts w:ascii="Times New Roman" w:hAnsi="Times New Roman" w:eastAsia="仿宋"/>
          <w:bCs/>
          <w:sz w:val="24"/>
          <w:szCs w:val="24"/>
        </w:rPr>
      </w:pPr>
      <w:r>
        <w:rPr>
          <w:rFonts w:ascii="Times New Roman" w:hAnsi="Times New Roman" w:eastAsia="仿宋"/>
          <w:bCs/>
          <w:sz w:val="24"/>
          <w:szCs w:val="24"/>
        </w:rPr>
        <w:t>6</w:t>
      </w:r>
      <w:r>
        <w:rPr>
          <w:rFonts w:hint="eastAsia" w:ascii="Times New Roman" w:hAnsi="Times New Roman" w:eastAsia="仿宋"/>
          <w:bCs/>
          <w:sz w:val="24"/>
          <w:szCs w:val="24"/>
        </w:rPr>
        <w:t>、防汛</w:t>
      </w:r>
    </w:p>
    <w:p>
      <w:pPr>
        <w:spacing w:line="600" w:lineRule="exact"/>
        <w:ind w:firstLine="560"/>
        <w:rPr>
          <w:rFonts w:ascii="Times New Roman" w:hAnsi="Times New Roman" w:eastAsia="仿宋"/>
          <w:bCs/>
          <w:sz w:val="24"/>
          <w:szCs w:val="24"/>
        </w:rPr>
      </w:pPr>
      <w:r>
        <w:rPr>
          <w:rFonts w:hint="eastAsia" w:ascii="Times New Roman" w:hAnsi="Times New Roman" w:eastAsia="仿宋"/>
          <w:bCs/>
          <w:sz w:val="24"/>
          <w:szCs w:val="24"/>
        </w:rPr>
        <w:t>认真贯彻落实</w:t>
      </w:r>
      <w:r>
        <w:rPr>
          <w:rFonts w:ascii="Times New Roman" w:hAnsi="Times New Roman" w:eastAsia="仿宋"/>
          <w:bCs/>
          <w:sz w:val="24"/>
          <w:szCs w:val="24"/>
        </w:rPr>
        <w:t>“</w:t>
      </w:r>
      <w:r>
        <w:rPr>
          <w:rFonts w:hint="eastAsia" w:ascii="Times New Roman" w:hAnsi="Times New Roman" w:eastAsia="仿宋"/>
          <w:bCs/>
          <w:sz w:val="24"/>
          <w:szCs w:val="24"/>
        </w:rPr>
        <w:t>安全第一、常备不懈、预防为主、全力抢险</w:t>
      </w:r>
      <w:r>
        <w:rPr>
          <w:rFonts w:ascii="Times New Roman" w:hAnsi="Times New Roman" w:eastAsia="仿宋"/>
          <w:bCs/>
          <w:sz w:val="24"/>
          <w:szCs w:val="24"/>
        </w:rPr>
        <w:t>”</w:t>
      </w:r>
      <w:r>
        <w:rPr>
          <w:rFonts w:hint="eastAsia" w:ascii="Times New Roman" w:hAnsi="Times New Roman" w:eastAsia="仿宋"/>
          <w:bCs/>
          <w:sz w:val="24"/>
          <w:szCs w:val="24"/>
        </w:rPr>
        <w:t>的防洪方针，落实行政首长防汛责任制和各级岗位责任制，落实防汛措施。</w:t>
      </w:r>
    </w:p>
    <w:p>
      <w:pPr>
        <w:spacing w:line="600" w:lineRule="exact"/>
        <w:ind w:firstLine="560"/>
        <w:outlineLvl w:val="3"/>
        <w:rPr>
          <w:rFonts w:ascii="Times New Roman" w:hAnsi="Times New Roman" w:eastAsia="仿宋"/>
          <w:sz w:val="24"/>
          <w:szCs w:val="24"/>
        </w:rPr>
      </w:pPr>
      <w:r>
        <w:rPr>
          <w:rFonts w:hint="eastAsia" w:ascii="Times New Roman" w:hAnsi="Times New Roman" w:eastAsia="仿宋"/>
          <w:sz w:val="24"/>
          <w:szCs w:val="24"/>
        </w:rPr>
        <w:t>（二）农村生活垃圾治理现状</w:t>
      </w:r>
    </w:p>
    <w:p>
      <w:pPr>
        <w:spacing w:line="600" w:lineRule="exact"/>
        <w:ind w:firstLine="560"/>
        <w:rPr>
          <w:rFonts w:ascii="Times New Roman" w:hAnsi="Times New Roman" w:eastAsia="仿宋"/>
          <w:bCs/>
          <w:sz w:val="24"/>
          <w:szCs w:val="24"/>
        </w:rPr>
      </w:pPr>
      <w:r>
        <w:rPr>
          <w:rFonts w:hint="eastAsia" w:ascii="Times New Roman" w:hAnsi="Times New Roman" w:eastAsia="仿宋"/>
          <w:bCs/>
          <w:sz w:val="24"/>
          <w:szCs w:val="24"/>
        </w:rPr>
        <w:t>全县积极开展城乡生活垃圾处理设施三年行动和排查整治。按照</w:t>
      </w:r>
      <w:r>
        <w:rPr>
          <w:rFonts w:ascii="Times New Roman" w:hAnsi="Times New Roman" w:eastAsia="仿宋"/>
          <w:bCs/>
          <w:sz w:val="24"/>
          <w:szCs w:val="24"/>
        </w:rPr>
        <w:t>“</w:t>
      </w:r>
      <w:r>
        <w:rPr>
          <w:rFonts w:hint="eastAsia" w:ascii="Times New Roman" w:hAnsi="Times New Roman" w:eastAsia="仿宋"/>
          <w:bCs/>
          <w:sz w:val="24"/>
          <w:szCs w:val="24"/>
        </w:rPr>
        <w:t>扫干净，摆整齐</w:t>
      </w:r>
      <w:r>
        <w:rPr>
          <w:rFonts w:ascii="Times New Roman" w:hAnsi="Times New Roman" w:eastAsia="仿宋"/>
          <w:bCs/>
          <w:sz w:val="24"/>
          <w:szCs w:val="24"/>
        </w:rPr>
        <w:t>”</w:t>
      </w:r>
      <w:r>
        <w:rPr>
          <w:rFonts w:hint="eastAsia" w:ascii="Times New Roman" w:hAnsi="Times New Roman" w:eastAsia="仿宋"/>
          <w:bCs/>
          <w:sz w:val="24"/>
          <w:szCs w:val="24"/>
        </w:rPr>
        <w:t>要求，持续加大村庄庭院环境治理力度，共整治规范庭院杂物乱堆放</w:t>
      </w:r>
      <w:r>
        <w:rPr>
          <w:rFonts w:ascii="Times New Roman" w:hAnsi="Times New Roman" w:eastAsia="仿宋"/>
          <w:bCs/>
          <w:sz w:val="24"/>
          <w:szCs w:val="24"/>
          <w:u w:color="FF0000"/>
        </w:rPr>
        <w:t>4930</w:t>
      </w:r>
      <w:r>
        <w:rPr>
          <w:rFonts w:hint="eastAsia" w:ascii="Times New Roman" w:hAnsi="Times New Roman" w:eastAsia="仿宋"/>
          <w:bCs/>
          <w:sz w:val="24"/>
          <w:szCs w:val="24"/>
        </w:rPr>
        <w:t>余处，清除积存垃圾</w:t>
      </w:r>
      <w:r>
        <w:rPr>
          <w:rFonts w:ascii="Times New Roman" w:hAnsi="Times New Roman" w:eastAsia="仿宋"/>
          <w:bCs/>
          <w:sz w:val="24"/>
          <w:szCs w:val="24"/>
          <w:u w:color="FF0000"/>
        </w:rPr>
        <w:t>14250</w:t>
      </w:r>
      <w:r>
        <w:rPr>
          <w:rFonts w:hint="eastAsia" w:ascii="Times New Roman" w:hAnsi="Times New Roman" w:eastAsia="仿宋"/>
          <w:bCs/>
          <w:sz w:val="24"/>
          <w:szCs w:val="24"/>
        </w:rPr>
        <w:t>余吨。目前已配保洁员</w:t>
      </w:r>
      <w:r>
        <w:rPr>
          <w:rFonts w:ascii="Times New Roman" w:hAnsi="Times New Roman" w:eastAsia="仿宋"/>
          <w:bCs/>
          <w:sz w:val="24"/>
          <w:szCs w:val="24"/>
          <w:u w:val="single" w:color="FFFFFF"/>
        </w:rPr>
        <w:t>1551</w:t>
      </w:r>
      <w:r>
        <w:rPr>
          <w:rFonts w:hint="eastAsia" w:ascii="Times New Roman" w:hAnsi="Times New Roman" w:eastAsia="仿宋"/>
          <w:bCs/>
          <w:sz w:val="24"/>
          <w:szCs w:val="24"/>
          <w:u w:val="single" w:color="FFFFFF"/>
        </w:rPr>
        <w:t>人</w:t>
      </w:r>
      <w:r>
        <w:rPr>
          <w:rFonts w:hint="eastAsia" w:ascii="Times New Roman" w:hAnsi="Times New Roman" w:eastAsia="仿宋"/>
          <w:bCs/>
          <w:sz w:val="24"/>
          <w:szCs w:val="24"/>
        </w:rPr>
        <w:t>。</w:t>
      </w:r>
    </w:p>
    <w:p>
      <w:pPr>
        <w:spacing w:line="600" w:lineRule="exact"/>
        <w:ind w:firstLine="560"/>
        <w:outlineLvl w:val="3"/>
        <w:rPr>
          <w:rFonts w:ascii="Times New Roman" w:hAnsi="Times New Roman" w:eastAsia="仿宋"/>
          <w:sz w:val="24"/>
          <w:szCs w:val="24"/>
        </w:rPr>
      </w:pPr>
      <w:r>
        <w:rPr>
          <w:rFonts w:hint="eastAsia" w:ascii="Times New Roman" w:hAnsi="Times New Roman" w:eastAsia="仿宋"/>
          <w:sz w:val="24"/>
          <w:szCs w:val="24"/>
        </w:rPr>
        <w:t>（三）农村生活污水现状</w:t>
      </w:r>
    </w:p>
    <w:p>
      <w:pPr>
        <w:spacing w:line="600" w:lineRule="exact"/>
        <w:ind w:firstLine="560"/>
        <w:rPr>
          <w:rFonts w:ascii="Times New Roman" w:hAnsi="Times New Roman" w:eastAsia="仿宋"/>
          <w:bCs/>
          <w:color w:val="000000"/>
          <w:sz w:val="24"/>
          <w:szCs w:val="24"/>
        </w:rPr>
      </w:pPr>
      <w:r>
        <w:rPr>
          <w:rFonts w:hint="eastAsia" w:ascii="Times New Roman" w:hAnsi="Times New Roman" w:eastAsia="仿宋"/>
          <w:bCs/>
          <w:sz w:val="24"/>
          <w:szCs w:val="24"/>
        </w:rPr>
        <w:t>本</w:t>
      </w:r>
      <w:r>
        <w:rPr>
          <w:rFonts w:hint="eastAsia" w:ascii="Times New Roman" w:hAnsi="Times New Roman" w:eastAsia="仿宋"/>
          <w:bCs/>
          <w:sz w:val="24"/>
          <w:szCs w:val="24"/>
          <w:lang w:val="en-US" w:eastAsia="zh-CN"/>
        </w:rPr>
        <w:t>市</w:t>
      </w:r>
      <w:r>
        <w:rPr>
          <w:rFonts w:hint="eastAsia" w:ascii="Times New Roman" w:hAnsi="Times New Roman" w:eastAsia="仿宋"/>
          <w:bCs/>
          <w:sz w:val="24"/>
          <w:szCs w:val="24"/>
        </w:rPr>
        <w:t>农村每年产生生活污水大概有</w:t>
      </w:r>
      <w:r>
        <w:rPr>
          <w:rFonts w:ascii="Times New Roman" w:hAnsi="Times New Roman" w:eastAsia="仿宋"/>
          <w:bCs/>
          <w:sz w:val="24"/>
          <w:szCs w:val="24"/>
        </w:rPr>
        <w:t>1000</w:t>
      </w:r>
      <w:r>
        <w:rPr>
          <w:rFonts w:hint="eastAsia" w:ascii="Times New Roman" w:hAnsi="Times New Roman" w:eastAsia="仿宋"/>
          <w:bCs/>
          <w:sz w:val="24"/>
          <w:szCs w:val="24"/>
        </w:rPr>
        <w:t>万吨</w:t>
      </w:r>
      <w:r>
        <w:rPr>
          <w:rFonts w:ascii="Times New Roman" w:hAnsi="Times New Roman" w:eastAsia="仿宋"/>
          <w:bCs/>
          <w:sz w:val="24"/>
          <w:szCs w:val="24"/>
        </w:rPr>
        <w:t>,</w:t>
      </w:r>
      <w:r>
        <w:rPr>
          <w:rFonts w:hint="eastAsia" w:ascii="Times New Roman" w:hAnsi="Times New Roman" w:eastAsia="仿宋"/>
          <w:bCs/>
          <w:sz w:val="24"/>
          <w:szCs w:val="24"/>
        </w:rPr>
        <w:t>污水来源主要集中在冲洗卫生间的粪便污水、洗浴污水、洗衣污水以及厨房的洗涤污水。</w:t>
      </w:r>
      <w:r>
        <w:rPr>
          <w:rFonts w:ascii="Times New Roman" w:hAnsi="Times New Roman" w:eastAsia="仿宋"/>
          <w:bCs/>
          <w:color w:val="000000"/>
          <w:sz w:val="24"/>
          <w:szCs w:val="24"/>
        </w:rPr>
        <w:t>2017</w:t>
      </w:r>
      <w:r>
        <w:rPr>
          <w:rFonts w:hint="eastAsia" w:ascii="Times New Roman" w:hAnsi="Times New Roman" w:eastAsia="仿宋"/>
          <w:bCs/>
          <w:color w:val="000000"/>
          <w:sz w:val="24"/>
          <w:szCs w:val="24"/>
        </w:rPr>
        <w:t>年至</w:t>
      </w:r>
      <w:r>
        <w:rPr>
          <w:rFonts w:ascii="Times New Roman" w:hAnsi="Times New Roman" w:eastAsia="仿宋"/>
          <w:bCs/>
          <w:color w:val="000000"/>
          <w:sz w:val="24"/>
          <w:szCs w:val="24"/>
        </w:rPr>
        <w:t>2018</w:t>
      </w:r>
      <w:r>
        <w:rPr>
          <w:rFonts w:hint="eastAsia" w:ascii="Times New Roman" w:hAnsi="Times New Roman" w:eastAsia="仿宋"/>
          <w:bCs/>
          <w:color w:val="000000"/>
          <w:sz w:val="24"/>
          <w:szCs w:val="24"/>
        </w:rPr>
        <w:t>年通过实施污水收集和增添部分小型污水处理设施的措施进行了</w:t>
      </w:r>
      <w:r>
        <w:rPr>
          <w:rFonts w:hint="eastAsia" w:ascii="Times New Roman" w:hAnsi="Times New Roman" w:eastAsia="仿宋"/>
          <w:bCs/>
          <w:color w:val="000000"/>
          <w:sz w:val="24"/>
          <w:szCs w:val="24"/>
          <w:lang w:val="en-US" w:eastAsia="zh-CN"/>
        </w:rPr>
        <w:t>多</w:t>
      </w:r>
      <w:r>
        <w:rPr>
          <w:rFonts w:hint="eastAsia" w:ascii="Times New Roman" w:hAnsi="Times New Roman" w:eastAsia="仿宋"/>
          <w:bCs/>
          <w:color w:val="000000"/>
          <w:sz w:val="24"/>
          <w:szCs w:val="24"/>
        </w:rPr>
        <w:t>个中心村污水处理。</w:t>
      </w:r>
    </w:p>
    <w:p>
      <w:pPr>
        <w:spacing w:line="600" w:lineRule="exact"/>
        <w:ind w:firstLine="560"/>
        <w:outlineLvl w:val="3"/>
        <w:rPr>
          <w:rFonts w:ascii="Times New Roman" w:hAnsi="Times New Roman" w:eastAsia="仿宋"/>
          <w:color w:val="000000"/>
          <w:sz w:val="24"/>
          <w:szCs w:val="24"/>
        </w:rPr>
      </w:pPr>
      <w:r>
        <w:rPr>
          <w:rFonts w:hint="eastAsia" w:ascii="Times New Roman" w:hAnsi="Times New Roman" w:eastAsia="仿宋"/>
          <w:color w:val="000000"/>
          <w:sz w:val="24"/>
          <w:szCs w:val="24"/>
        </w:rPr>
        <w:t>（四）农村厕所现状</w:t>
      </w:r>
    </w:p>
    <w:p>
      <w:pPr>
        <w:spacing w:line="600" w:lineRule="exact"/>
        <w:ind w:firstLine="560"/>
        <w:rPr>
          <w:rFonts w:ascii="Times New Roman" w:hAnsi="Times New Roman" w:eastAsia="仿宋"/>
          <w:bCs/>
          <w:color w:val="000000"/>
          <w:sz w:val="24"/>
          <w:szCs w:val="24"/>
        </w:rPr>
      </w:pPr>
      <w:r>
        <w:rPr>
          <w:rFonts w:ascii="Times New Roman" w:hAnsi="Times New Roman" w:eastAsia="仿宋"/>
          <w:bCs/>
          <w:color w:val="000000"/>
          <w:sz w:val="24"/>
          <w:szCs w:val="24"/>
        </w:rPr>
        <w:t>2018</w:t>
      </w:r>
      <w:r>
        <w:rPr>
          <w:rFonts w:hint="eastAsia" w:ascii="Times New Roman" w:hAnsi="Times New Roman" w:eastAsia="仿宋"/>
          <w:bCs/>
          <w:color w:val="000000"/>
          <w:sz w:val="24"/>
          <w:szCs w:val="24"/>
        </w:rPr>
        <w:t>年，全</w:t>
      </w:r>
      <w:r>
        <w:rPr>
          <w:rFonts w:hint="eastAsia" w:ascii="Times New Roman" w:hAnsi="Times New Roman" w:eastAsia="仿宋"/>
          <w:bCs/>
          <w:color w:val="000000"/>
          <w:sz w:val="24"/>
          <w:szCs w:val="24"/>
          <w:lang w:val="en-US" w:eastAsia="zh-CN"/>
        </w:rPr>
        <w:t>市</w:t>
      </w:r>
      <w:r>
        <w:rPr>
          <w:rFonts w:hint="eastAsia" w:ascii="Times New Roman" w:hAnsi="Times New Roman" w:eastAsia="仿宋"/>
          <w:bCs/>
          <w:color w:val="000000"/>
          <w:sz w:val="24"/>
          <w:szCs w:val="24"/>
        </w:rPr>
        <w:t>结合贫困户易地搬迁、农村危房改造、土坯房改造等项目的实施，全力推进</w:t>
      </w:r>
      <w:r>
        <w:rPr>
          <w:rFonts w:ascii="Times New Roman" w:hAnsi="Times New Roman" w:eastAsia="仿宋"/>
          <w:bCs/>
          <w:color w:val="000000"/>
          <w:sz w:val="24"/>
          <w:szCs w:val="24"/>
        </w:rPr>
        <w:t>“</w:t>
      </w:r>
      <w:r>
        <w:rPr>
          <w:rFonts w:hint="eastAsia" w:ascii="Times New Roman" w:hAnsi="Times New Roman" w:eastAsia="仿宋"/>
          <w:bCs/>
          <w:color w:val="000000"/>
          <w:sz w:val="24"/>
          <w:szCs w:val="24"/>
        </w:rPr>
        <w:t>厕所革命</w:t>
      </w:r>
      <w:r>
        <w:rPr>
          <w:rFonts w:ascii="Times New Roman" w:hAnsi="Times New Roman" w:eastAsia="仿宋"/>
          <w:bCs/>
          <w:color w:val="000000"/>
          <w:sz w:val="24"/>
          <w:szCs w:val="24"/>
        </w:rPr>
        <w:t>”</w:t>
      </w:r>
      <w:r>
        <w:rPr>
          <w:rFonts w:hint="eastAsia" w:ascii="Times New Roman" w:hAnsi="Times New Roman" w:eastAsia="仿宋"/>
          <w:bCs/>
          <w:color w:val="000000"/>
          <w:sz w:val="24"/>
          <w:szCs w:val="24"/>
        </w:rPr>
        <w:t>。</w:t>
      </w:r>
    </w:p>
    <w:p>
      <w:pPr>
        <w:spacing w:line="600" w:lineRule="exact"/>
        <w:ind w:firstLine="560"/>
        <w:outlineLvl w:val="3"/>
        <w:rPr>
          <w:rFonts w:ascii="Times New Roman" w:hAnsi="Times New Roman" w:eastAsia="仿宋"/>
          <w:sz w:val="24"/>
          <w:szCs w:val="24"/>
        </w:rPr>
      </w:pPr>
      <w:r>
        <w:rPr>
          <w:rFonts w:hint="eastAsia" w:ascii="Times New Roman" w:hAnsi="Times New Roman" w:eastAsia="仿宋"/>
          <w:sz w:val="24"/>
          <w:szCs w:val="24"/>
        </w:rPr>
        <w:t>（五）村容村貌现状</w:t>
      </w:r>
    </w:p>
    <w:p>
      <w:pPr>
        <w:spacing w:line="600" w:lineRule="exact"/>
        <w:ind w:firstLine="560"/>
        <w:rPr>
          <w:rFonts w:ascii="Times New Roman" w:hAnsi="Times New Roman" w:eastAsia="仿宋"/>
          <w:bCs/>
          <w:sz w:val="24"/>
          <w:szCs w:val="24"/>
        </w:rPr>
      </w:pPr>
      <w:r>
        <w:rPr>
          <w:rFonts w:hint="eastAsia" w:ascii="Times New Roman" w:hAnsi="Times New Roman" w:eastAsia="仿宋"/>
          <w:bCs/>
          <w:sz w:val="24"/>
          <w:szCs w:val="24"/>
        </w:rPr>
        <w:t>全</w:t>
      </w:r>
      <w:r>
        <w:rPr>
          <w:rFonts w:hint="eastAsia" w:ascii="Times New Roman" w:hAnsi="Times New Roman" w:eastAsia="仿宋"/>
          <w:bCs/>
          <w:sz w:val="24"/>
          <w:szCs w:val="24"/>
          <w:lang w:val="en-US" w:eastAsia="zh-CN"/>
        </w:rPr>
        <w:t>市</w:t>
      </w:r>
      <w:r>
        <w:rPr>
          <w:rFonts w:hint="eastAsia" w:ascii="Times New Roman" w:hAnsi="Times New Roman" w:eastAsia="仿宋"/>
          <w:bCs/>
          <w:sz w:val="24"/>
          <w:szCs w:val="24"/>
        </w:rPr>
        <w:t>积极推进乡村振兴项目。</w:t>
      </w:r>
    </w:p>
    <w:p>
      <w:pPr>
        <w:pStyle w:val="5"/>
        <w:spacing w:line="600" w:lineRule="exact"/>
        <w:rPr>
          <w:rFonts w:ascii="Times New Roman" w:hAnsi="Times New Roman" w:eastAsia="仿宋"/>
          <w:sz w:val="24"/>
          <w:szCs w:val="24"/>
        </w:rPr>
      </w:pPr>
      <w:bookmarkStart w:id="8" w:name="_Toc3884552"/>
      <w:r>
        <w:rPr>
          <w:rFonts w:hint="eastAsia" w:ascii="Times New Roman" w:hAnsi="Times New Roman" w:eastAsia="仿宋"/>
          <w:sz w:val="24"/>
          <w:szCs w:val="24"/>
        </w:rPr>
        <w:t>三、农村人居环境面临的问题</w:t>
      </w:r>
      <w:bookmarkEnd w:id="8"/>
    </w:p>
    <w:p>
      <w:pPr>
        <w:spacing w:line="600" w:lineRule="exact"/>
        <w:ind w:firstLine="560"/>
        <w:outlineLvl w:val="3"/>
        <w:rPr>
          <w:rFonts w:ascii="Times New Roman" w:hAnsi="Times New Roman" w:eastAsia="仿宋"/>
          <w:sz w:val="24"/>
          <w:szCs w:val="24"/>
        </w:rPr>
      </w:pPr>
      <w:r>
        <w:rPr>
          <w:rFonts w:hint="eastAsia" w:ascii="Times New Roman" w:hAnsi="Times New Roman" w:eastAsia="仿宋"/>
          <w:sz w:val="24"/>
          <w:szCs w:val="24"/>
        </w:rPr>
        <w:t>（一）农村生活垃圾面临的问题</w:t>
      </w:r>
    </w:p>
    <w:p>
      <w:pPr>
        <w:pStyle w:val="63"/>
        <w:spacing w:line="600" w:lineRule="exact"/>
        <w:ind w:firstLine="720" w:firstLineChars="300"/>
        <w:rPr>
          <w:rFonts w:ascii="Times New Roman" w:hAnsi="Times New Roman" w:eastAsia="仿宋"/>
          <w:bCs/>
          <w:sz w:val="24"/>
          <w:szCs w:val="24"/>
        </w:rPr>
      </w:pPr>
      <w:r>
        <w:rPr>
          <w:rFonts w:hint="eastAsia" w:ascii="Times New Roman" w:hAnsi="Times New Roman" w:eastAsia="仿宋"/>
          <w:color w:val="000000"/>
          <w:sz w:val="24"/>
          <w:szCs w:val="24"/>
        </w:rPr>
        <w:t>农村生活垃圾治理问题</w:t>
      </w:r>
      <w:r>
        <w:rPr>
          <w:rFonts w:hint="eastAsia" w:ascii="Times New Roman" w:hAnsi="Times New Roman" w:eastAsia="仿宋"/>
          <w:bCs/>
          <w:sz w:val="24"/>
          <w:szCs w:val="24"/>
        </w:rPr>
        <w:t>村民整体环保意识较差、参与性不够。农村生活垃圾处置现状都存在政府大包大揽，村民配合积极性不高，共同参与面不大的问题。垃圾收集设施破损陈旧。目前部分镇乡压缩式垃圾中转站容量不足、设备需要更新；部分镇乡垃圾屋（池）年久失修，破损严重，不能适应新时期农村生活垃圾治理的要求。垃圾中转运输车辆落后，多以开敞式三轮车、农用运输车为主，无专业的垃圾中转运输车辆，运输途中容易造成二次污染。垃圾收集屋（池）和中转运输车辆数量配备不足，分布不均，不能满足人民群众日益增长的物质文化生活的需求。</w:t>
      </w:r>
      <w:r>
        <w:rPr>
          <w:rFonts w:hint="eastAsia" w:ascii="Times New Roman" w:hAnsi="Times New Roman" w:eastAsia="仿宋"/>
          <w:sz w:val="24"/>
          <w:szCs w:val="24"/>
        </w:rPr>
        <w:t>村两委基本无农村生活垃圾投入，村民垃圾处理费用难以收取。由于以上原因，导致一些镇（乡）村环境卫生保洁设施建设和设备配置及运行维护资金难以得到保障，资金保障问题成为了持续深入推进农村生活垃圾治理的最大障碍。</w:t>
      </w:r>
    </w:p>
    <w:p>
      <w:pPr>
        <w:spacing w:line="600" w:lineRule="exact"/>
        <w:ind w:firstLine="560"/>
        <w:outlineLvl w:val="3"/>
        <w:rPr>
          <w:rFonts w:ascii="Times New Roman" w:hAnsi="Times New Roman" w:eastAsia="仿宋"/>
          <w:sz w:val="24"/>
          <w:szCs w:val="24"/>
        </w:rPr>
      </w:pPr>
      <w:r>
        <w:rPr>
          <w:rFonts w:hint="eastAsia" w:ascii="Times New Roman" w:hAnsi="Times New Roman" w:eastAsia="仿宋"/>
          <w:sz w:val="24"/>
          <w:szCs w:val="24"/>
        </w:rPr>
        <w:t>（二）农村生活污水面临的问题</w:t>
      </w:r>
    </w:p>
    <w:p>
      <w:pPr>
        <w:spacing w:line="600" w:lineRule="exact"/>
        <w:ind w:firstLine="560"/>
        <w:rPr>
          <w:rFonts w:ascii="Times New Roman" w:hAnsi="Times New Roman" w:eastAsia="仿宋"/>
          <w:sz w:val="24"/>
          <w:szCs w:val="24"/>
        </w:rPr>
      </w:pPr>
      <w:r>
        <w:rPr>
          <w:rFonts w:hint="eastAsia" w:ascii="Times New Roman" w:hAnsi="Times New Roman" w:eastAsia="仿宋"/>
          <w:sz w:val="24"/>
          <w:szCs w:val="24"/>
        </w:rPr>
        <w:t>农村污水处理设施覆盖面不足，污水收集处理率不高；农村污水设施欠缺，污水处理量不够；部分污水进入自然水体后造成污染。</w:t>
      </w:r>
    </w:p>
    <w:p>
      <w:pPr>
        <w:spacing w:line="600" w:lineRule="exact"/>
        <w:ind w:firstLine="560"/>
        <w:outlineLvl w:val="3"/>
        <w:rPr>
          <w:rFonts w:ascii="Times New Roman" w:hAnsi="Times New Roman" w:eastAsia="仿宋"/>
          <w:sz w:val="24"/>
          <w:szCs w:val="24"/>
        </w:rPr>
      </w:pPr>
      <w:r>
        <w:rPr>
          <w:rFonts w:hint="eastAsia" w:ascii="Times New Roman" w:hAnsi="Times New Roman" w:eastAsia="仿宋"/>
          <w:sz w:val="24"/>
          <w:szCs w:val="24"/>
        </w:rPr>
        <w:t>（三）农村厕所面临的问题</w:t>
      </w:r>
    </w:p>
    <w:p>
      <w:pPr>
        <w:spacing w:line="600" w:lineRule="exact"/>
        <w:ind w:firstLine="560"/>
        <w:rPr>
          <w:rFonts w:ascii="Times New Roman" w:hAnsi="Times New Roman" w:eastAsia="仿宋"/>
          <w:sz w:val="24"/>
          <w:szCs w:val="24"/>
        </w:rPr>
      </w:pPr>
      <w:r>
        <w:rPr>
          <w:rFonts w:hint="eastAsia" w:ascii="Times New Roman" w:hAnsi="Times New Roman" w:eastAsia="仿宋"/>
          <w:sz w:val="24"/>
          <w:szCs w:val="24"/>
        </w:rPr>
        <w:t>各镇（乡）的发展不平衡，积极性高的，经济条件好的乡村卫生厕所普及率较高，反之则低；居民使用卫生厕所对于保护健康和对使用卫生厕所的认识不足；少数改厕改建不规范，致使达不到粪便无害化处理的要求。</w:t>
      </w:r>
      <w:r>
        <w:rPr>
          <w:rFonts w:hint="eastAsia" w:ascii="Times New Roman" w:hAnsi="Times New Roman" w:eastAsia="仿宋"/>
          <w:color w:val="000000"/>
          <w:sz w:val="24"/>
          <w:szCs w:val="24"/>
        </w:rPr>
        <w:t>截止</w:t>
      </w:r>
      <w:r>
        <w:rPr>
          <w:rFonts w:ascii="Times New Roman" w:hAnsi="Times New Roman" w:eastAsia="仿宋"/>
          <w:color w:val="000000"/>
          <w:sz w:val="24"/>
          <w:szCs w:val="24"/>
        </w:rPr>
        <w:t>2018</w:t>
      </w:r>
      <w:r>
        <w:rPr>
          <w:rFonts w:hint="eastAsia" w:ascii="Times New Roman" w:hAnsi="Times New Roman" w:eastAsia="仿宋"/>
          <w:color w:val="000000"/>
          <w:sz w:val="24"/>
          <w:szCs w:val="24"/>
        </w:rPr>
        <w:t>年，全</w:t>
      </w:r>
      <w:r>
        <w:rPr>
          <w:rFonts w:hint="eastAsia" w:ascii="Times New Roman" w:hAnsi="Times New Roman" w:eastAsia="仿宋"/>
          <w:color w:val="000000"/>
          <w:sz w:val="24"/>
          <w:szCs w:val="24"/>
          <w:lang w:val="en-US" w:eastAsia="zh-CN"/>
        </w:rPr>
        <w:t>市</w:t>
      </w:r>
      <w:r>
        <w:rPr>
          <w:rFonts w:hint="eastAsia" w:ascii="Times New Roman" w:hAnsi="Times New Roman" w:eastAsia="仿宋"/>
          <w:color w:val="000000"/>
          <w:sz w:val="24"/>
          <w:szCs w:val="24"/>
        </w:rPr>
        <w:t>农村户用卫生厕所普及率达到</w:t>
      </w:r>
      <w:r>
        <w:rPr>
          <w:rFonts w:ascii="Times New Roman" w:hAnsi="Times New Roman" w:eastAsia="仿宋"/>
          <w:color w:val="000000"/>
          <w:sz w:val="24"/>
          <w:szCs w:val="24"/>
        </w:rPr>
        <w:t>65.06%</w:t>
      </w:r>
      <w:r>
        <w:rPr>
          <w:rFonts w:hint="eastAsia" w:ascii="Times New Roman" w:hAnsi="Times New Roman" w:eastAsia="仿宋"/>
          <w:color w:val="000000"/>
          <w:sz w:val="24"/>
          <w:szCs w:val="24"/>
        </w:rPr>
        <w:t>，距离创建人居环境整治先进县还有一定差距，需进一步争创。</w:t>
      </w:r>
    </w:p>
    <w:p>
      <w:pPr>
        <w:pStyle w:val="4"/>
        <w:spacing w:line="600" w:lineRule="exact"/>
        <w:ind w:firstLine="0" w:firstLineChars="0"/>
        <w:jc w:val="center"/>
        <w:rPr>
          <w:rFonts w:ascii="Times New Roman" w:hAnsi="Times New Roman" w:eastAsia="仿宋"/>
          <w:b/>
          <w:bCs/>
          <w:color w:val="000000"/>
          <w:sz w:val="24"/>
          <w:szCs w:val="24"/>
        </w:rPr>
      </w:pPr>
      <w:bookmarkStart w:id="9" w:name="_Toc3884553"/>
      <w:r>
        <w:rPr>
          <w:rFonts w:hint="eastAsia" w:ascii="Times New Roman" w:hAnsi="Times New Roman" w:eastAsia="仿宋"/>
          <w:b/>
          <w:bCs/>
          <w:color w:val="000000"/>
          <w:sz w:val="24"/>
          <w:szCs w:val="24"/>
        </w:rPr>
        <w:t>第三章</w:t>
      </w:r>
      <w:r>
        <w:rPr>
          <w:rFonts w:ascii="Times New Roman" w:hAnsi="Times New Roman" w:eastAsia="仿宋"/>
          <w:b/>
          <w:bCs/>
          <w:color w:val="000000"/>
          <w:sz w:val="24"/>
          <w:szCs w:val="24"/>
        </w:rPr>
        <w:t xml:space="preserve"> </w:t>
      </w:r>
      <w:r>
        <w:rPr>
          <w:rFonts w:hint="eastAsia" w:ascii="Times New Roman" w:hAnsi="Times New Roman" w:eastAsia="仿宋"/>
          <w:b/>
          <w:bCs/>
          <w:color w:val="000000"/>
          <w:sz w:val="24"/>
          <w:szCs w:val="24"/>
        </w:rPr>
        <w:t>总体要求</w:t>
      </w:r>
      <w:bookmarkEnd w:id="9"/>
    </w:p>
    <w:p>
      <w:pPr>
        <w:pStyle w:val="5"/>
        <w:spacing w:line="600" w:lineRule="exact"/>
        <w:rPr>
          <w:rFonts w:ascii="Times New Roman" w:hAnsi="Times New Roman" w:eastAsia="仿宋"/>
          <w:sz w:val="24"/>
          <w:szCs w:val="24"/>
        </w:rPr>
      </w:pPr>
      <w:bookmarkStart w:id="10" w:name="_Toc3884554"/>
      <w:r>
        <w:rPr>
          <w:rFonts w:hint="eastAsia" w:ascii="Times New Roman" w:hAnsi="Times New Roman" w:eastAsia="仿宋"/>
          <w:sz w:val="24"/>
          <w:szCs w:val="24"/>
        </w:rPr>
        <w:t>一、指导思想</w:t>
      </w:r>
      <w:bookmarkEnd w:id="10"/>
    </w:p>
    <w:p>
      <w:pPr>
        <w:spacing w:line="600" w:lineRule="exact"/>
        <w:ind w:firstLine="560"/>
        <w:rPr>
          <w:rFonts w:ascii="Times New Roman" w:hAnsi="Times New Roman" w:eastAsia="仿宋"/>
          <w:color w:val="FF0000"/>
          <w:sz w:val="24"/>
          <w:szCs w:val="24"/>
        </w:rPr>
      </w:pPr>
      <w:r>
        <w:rPr>
          <w:rFonts w:hint="eastAsia" w:ascii="Times New Roman" w:hAnsi="Times New Roman" w:eastAsia="仿宋"/>
          <w:color w:val="000000"/>
          <w:sz w:val="24"/>
          <w:szCs w:val="24"/>
        </w:rPr>
        <w:t>坚持以习近平新时代中国特色社会主义思想为指导，全面贯彻党的十九大精神，深入学习贯彻习近平总书记对四川工作系列重要指示精神，认真落实省委十一届三次、四次全会和全省乡村振兴大会精神，全面落实省委农村工作会议暨全省农村人居环境整治推进大会，大力实施乡村振兴战略，以建设美丽宜居村庄为导向，以农村垃圾、污水治理、厕所改造为主攻方向，加快补齐农村人居环境突出短板，推进</w:t>
      </w:r>
      <w:r>
        <w:rPr>
          <w:rFonts w:ascii="Times New Roman" w:hAnsi="Times New Roman" w:eastAsia="仿宋"/>
          <w:color w:val="000000"/>
          <w:sz w:val="24"/>
          <w:szCs w:val="24"/>
        </w:rPr>
        <w:t>“</w:t>
      </w:r>
      <w:r>
        <w:rPr>
          <w:rFonts w:hint="eastAsia" w:ascii="Times New Roman" w:hAnsi="Times New Roman" w:eastAsia="仿宋"/>
          <w:color w:val="000000"/>
          <w:sz w:val="24"/>
          <w:szCs w:val="24"/>
        </w:rPr>
        <w:t>美丽大英</w:t>
      </w:r>
      <w:r>
        <w:rPr>
          <w:rFonts w:ascii="Times New Roman" w:hAnsi="Times New Roman" w:eastAsia="仿宋"/>
          <w:color w:val="000000"/>
          <w:sz w:val="24"/>
          <w:szCs w:val="24"/>
        </w:rPr>
        <w:t>˙</w:t>
      </w:r>
      <w:r>
        <w:rPr>
          <w:rFonts w:hint="eastAsia" w:ascii="Times New Roman" w:hAnsi="Times New Roman" w:eastAsia="仿宋"/>
          <w:color w:val="000000"/>
          <w:sz w:val="24"/>
          <w:szCs w:val="24"/>
        </w:rPr>
        <w:t>宜居乡村</w:t>
      </w:r>
      <w:r>
        <w:rPr>
          <w:rFonts w:ascii="Times New Roman" w:hAnsi="Times New Roman" w:eastAsia="仿宋"/>
          <w:color w:val="000000"/>
          <w:sz w:val="24"/>
          <w:szCs w:val="24"/>
        </w:rPr>
        <w:t>”</w:t>
      </w:r>
      <w:r>
        <w:rPr>
          <w:rFonts w:hint="eastAsia" w:ascii="Times New Roman" w:hAnsi="Times New Roman" w:eastAsia="仿宋"/>
          <w:color w:val="000000"/>
          <w:sz w:val="24"/>
          <w:szCs w:val="24"/>
        </w:rPr>
        <w:t>农村人居环境整治，为打好实施乡村振兴战略第一仗、实现乡村振兴目标、全面建成小康社会打下坚实基础。</w:t>
      </w:r>
    </w:p>
    <w:p>
      <w:pPr>
        <w:pStyle w:val="5"/>
        <w:spacing w:line="600" w:lineRule="exact"/>
        <w:rPr>
          <w:rFonts w:ascii="Times New Roman" w:hAnsi="Times New Roman" w:eastAsia="仿宋"/>
          <w:sz w:val="24"/>
          <w:szCs w:val="24"/>
        </w:rPr>
      </w:pPr>
      <w:bookmarkStart w:id="11" w:name="_Toc3884555"/>
      <w:r>
        <w:rPr>
          <w:rFonts w:hint="eastAsia" w:ascii="Times New Roman" w:hAnsi="Times New Roman" w:eastAsia="仿宋"/>
          <w:sz w:val="24"/>
          <w:szCs w:val="24"/>
        </w:rPr>
        <w:t>二、基本原则</w:t>
      </w:r>
      <w:bookmarkEnd w:id="11"/>
    </w:p>
    <w:p>
      <w:pPr>
        <w:pStyle w:val="6"/>
        <w:spacing w:line="600" w:lineRule="exact"/>
        <w:rPr>
          <w:rFonts w:ascii="Times New Roman" w:hAnsi="Times New Roman" w:eastAsia="仿宋"/>
          <w:sz w:val="24"/>
          <w:szCs w:val="24"/>
        </w:rPr>
      </w:pPr>
      <w:r>
        <w:rPr>
          <w:rFonts w:hint="eastAsia" w:ascii="Times New Roman" w:hAnsi="Times New Roman" w:eastAsia="仿宋"/>
          <w:sz w:val="24"/>
          <w:szCs w:val="24"/>
        </w:rPr>
        <w:t>（一）因地制宜、分类指导</w:t>
      </w:r>
    </w:p>
    <w:p>
      <w:pPr>
        <w:spacing w:line="600" w:lineRule="exact"/>
        <w:ind w:firstLine="560"/>
        <w:rPr>
          <w:rFonts w:ascii="Times New Roman" w:hAnsi="Times New Roman" w:eastAsia="仿宋"/>
          <w:color w:val="000000"/>
          <w:sz w:val="24"/>
          <w:szCs w:val="24"/>
        </w:rPr>
      </w:pPr>
      <w:r>
        <w:rPr>
          <w:rFonts w:hint="eastAsia" w:ascii="Times New Roman" w:hAnsi="Times New Roman" w:eastAsia="仿宋"/>
          <w:color w:val="000000"/>
          <w:sz w:val="24"/>
          <w:szCs w:val="24"/>
        </w:rPr>
        <w:t>结合实际科学制定各项目标任务和工作重点，分类指导推进农村人居环境整治工作，既尽力而为又量力而行，防止生搬硬套和</w:t>
      </w:r>
      <w:r>
        <w:rPr>
          <w:rFonts w:ascii="Times New Roman" w:hAnsi="Times New Roman" w:eastAsia="仿宋"/>
          <w:color w:val="000000"/>
          <w:sz w:val="24"/>
          <w:szCs w:val="24"/>
        </w:rPr>
        <w:t>“</w:t>
      </w:r>
      <w:r>
        <w:rPr>
          <w:rFonts w:hint="eastAsia" w:ascii="Times New Roman" w:hAnsi="Times New Roman" w:eastAsia="仿宋"/>
          <w:color w:val="000000"/>
          <w:sz w:val="24"/>
          <w:szCs w:val="24"/>
        </w:rPr>
        <w:t>一刀切</w:t>
      </w:r>
      <w:r>
        <w:rPr>
          <w:rFonts w:ascii="Times New Roman" w:hAnsi="Times New Roman" w:eastAsia="仿宋"/>
          <w:color w:val="000000"/>
          <w:sz w:val="24"/>
          <w:szCs w:val="24"/>
        </w:rPr>
        <w:t>”</w:t>
      </w:r>
      <w:r>
        <w:rPr>
          <w:rFonts w:hint="eastAsia" w:ascii="Times New Roman" w:hAnsi="Times New Roman" w:eastAsia="仿宋"/>
          <w:color w:val="000000"/>
          <w:sz w:val="24"/>
          <w:szCs w:val="24"/>
        </w:rPr>
        <w:t>。确定实施易地搬迁的村庄、拟调整的空心村等可不列入整治范围。</w:t>
      </w:r>
    </w:p>
    <w:p>
      <w:pPr>
        <w:pStyle w:val="6"/>
        <w:spacing w:line="600" w:lineRule="exact"/>
        <w:rPr>
          <w:rFonts w:ascii="Times New Roman" w:hAnsi="Times New Roman" w:eastAsia="仿宋"/>
          <w:sz w:val="24"/>
          <w:szCs w:val="24"/>
        </w:rPr>
      </w:pPr>
      <w:r>
        <w:rPr>
          <w:rFonts w:hint="eastAsia" w:ascii="Times New Roman" w:hAnsi="Times New Roman" w:eastAsia="仿宋"/>
          <w:sz w:val="24"/>
          <w:szCs w:val="24"/>
        </w:rPr>
        <w:t>（二）突出重点、有序推进</w:t>
      </w:r>
    </w:p>
    <w:p>
      <w:pPr>
        <w:spacing w:line="600" w:lineRule="exact"/>
        <w:ind w:firstLine="560"/>
        <w:rPr>
          <w:rFonts w:ascii="Times New Roman" w:hAnsi="Times New Roman" w:eastAsia="仿宋"/>
          <w:color w:val="000000"/>
          <w:sz w:val="24"/>
          <w:szCs w:val="24"/>
        </w:rPr>
      </w:pPr>
      <w:r>
        <w:rPr>
          <w:rFonts w:hint="eastAsia" w:ascii="Times New Roman" w:hAnsi="Times New Roman" w:eastAsia="仿宋"/>
          <w:color w:val="000000"/>
          <w:sz w:val="24"/>
          <w:szCs w:val="24"/>
        </w:rPr>
        <w:t>集中力量解决突出问题，聚焦垃圾污水治理、厕所改造和村容村貌提升等重点任务。坚持先易后难、先点后面，积极开展试点示范探索推广经验，合理安排整治任务和建设时序。</w:t>
      </w:r>
    </w:p>
    <w:p>
      <w:pPr>
        <w:pStyle w:val="6"/>
        <w:spacing w:line="600" w:lineRule="exact"/>
        <w:rPr>
          <w:rFonts w:ascii="Times New Roman" w:hAnsi="Times New Roman" w:eastAsia="仿宋"/>
          <w:sz w:val="24"/>
          <w:szCs w:val="24"/>
        </w:rPr>
      </w:pPr>
      <w:r>
        <w:rPr>
          <w:rFonts w:hint="eastAsia" w:ascii="Times New Roman" w:hAnsi="Times New Roman" w:eastAsia="仿宋"/>
          <w:sz w:val="24"/>
          <w:szCs w:val="24"/>
        </w:rPr>
        <w:t>（三）注重保护、留住乡愁</w:t>
      </w:r>
    </w:p>
    <w:p>
      <w:pPr>
        <w:spacing w:line="600" w:lineRule="exact"/>
        <w:ind w:firstLine="560"/>
        <w:rPr>
          <w:rFonts w:ascii="Times New Roman" w:hAnsi="Times New Roman" w:eastAsia="仿宋"/>
          <w:color w:val="000000"/>
          <w:sz w:val="24"/>
          <w:szCs w:val="24"/>
        </w:rPr>
      </w:pPr>
      <w:r>
        <w:rPr>
          <w:rFonts w:hint="eastAsia" w:ascii="Times New Roman" w:hAnsi="Times New Roman" w:eastAsia="仿宋"/>
          <w:color w:val="000000"/>
          <w:sz w:val="24"/>
          <w:szCs w:val="24"/>
        </w:rPr>
        <w:t>坚持将生态保护与文化传承贯穿农村人居环境整治全过程，慎砍树、禁挖山、不填湖、少拆房，保护乡情美景，注重乡土味道。强化乡村历史记忆、地域特色与民族特征，综合提升田水路林村风貌，促进人与自然和谐共生、村庄形态与自然环境相得益彰。</w:t>
      </w:r>
    </w:p>
    <w:p>
      <w:pPr>
        <w:pStyle w:val="6"/>
        <w:spacing w:line="600" w:lineRule="exact"/>
        <w:rPr>
          <w:rFonts w:ascii="Times New Roman" w:hAnsi="Times New Roman" w:eastAsia="仿宋"/>
          <w:sz w:val="24"/>
          <w:szCs w:val="24"/>
        </w:rPr>
      </w:pPr>
      <w:r>
        <w:rPr>
          <w:rFonts w:hint="eastAsia" w:ascii="Times New Roman" w:hAnsi="Times New Roman" w:eastAsia="仿宋"/>
          <w:sz w:val="24"/>
          <w:szCs w:val="24"/>
        </w:rPr>
        <w:t>（四）村民主体、激发动力</w:t>
      </w:r>
    </w:p>
    <w:p>
      <w:pPr>
        <w:spacing w:line="600" w:lineRule="exact"/>
        <w:ind w:firstLine="560"/>
        <w:rPr>
          <w:rFonts w:ascii="Times New Roman" w:hAnsi="Times New Roman" w:eastAsia="仿宋"/>
          <w:color w:val="000000"/>
          <w:sz w:val="24"/>
          <w:szCs w:val="24"/>
        </w:rPr>
      </w:pPr>
      <w:r>
        <w:rPr>
          <w:rFonts w:hint="eastAsia" w:ascii="Times New Roman" w:hAnsi="Times New Roman" w:eastAsia="仿宋"/>
          <w:color w:val="000000"/>
          <w:sz w:val="24"/>
          <w:szCs w:val="24"/>
        </w:rPr>
        <w:t>尊重村民意愿，根据村民需求合理确定整治优先顺序和标准。坚持共同缔造理念，建立政府、村集体、村民等多方共建共管机制，充分激发调动村民自觉性、积极性与主动性，鼓励村民全程参与人居环境整治项目规划、建设、管理和监督，保障村民决策权、参与权、监督权。</w:t>
      </w:r>
    </w:p>
    <w:p>
      <w:pPr>
        <w:pStyle w:val="6"/>
        <w:spacing w:line="600" w:lineRule="exact"/>
        <w:rPr>
          <w:rFonts w:ascii="Times New Roman" w:hAnsi="Times New Roman" w:eastAsia="仿宋"/>
          <w:sz w:val="24"/>
          <w:szCs w:val="24"/>
        </w:rPr>
      </w:pPr>
      <w:r>
        <w:rPr>
          <w:rFonts w:hint="eastAsia" w:ascii="Times New Roman" w:hAnsi="Times New Roman" w:eastAsia="仿宋"/>
          <w:sz w:val="24"/>
          <w:szCs w:val="24"/>
        </w:rPr>
        <w:t>（五）建管并重、长效运行</w:t>
      </w:r>
    </w:p>
    <w:p>
      <w:pPr>
        <w:spacing w:line="600" w:lineRule="exact"/>
        <w:ind w:firstLine="560"/>
        <w:rPr>
          <w:rFonts w:ascii="Times New Roman" w:hAnsi="Times New Roman" w:eastAsia="仿宋"/>
          <w:sz w:val="24"/>
          <w:szCs w:val="24"/>
        </w:rPr>
      </w:pPr>
      <w:r>
        <w:rPr>
          <w:rFonts w:hint="eastAsia" w:ascii="Times New Roman" w:hAnsi="Times New Roman" w:eastAsia="仿宋"/>
          <w:sz w:val="24"/>
          <w:szCs w:val="24"/>
        </w:rPr>
        <w:t>坚持先建机制、后建工程，合理确定投融资模式和运行管护方式，推进投融资体制机制和建设管护机制创新，探索规模化、专业化、社会化运营机制，确保各类设施建成并长期稳定运行。</w:t>
      </w:r>
    </w:p>
    <w:p>
      <w:pPr>
        <w:pStyle w:val="5"/>
        <w:spacing w:line="600" w:lineRule="exact"/>
        <w:rPr>
          <w:rFonts w:ascii="Times New Roman" w:hAnsi="Times New Roman" w:eastAsia="仿宋"/>
          <w:sz w:val="24"/>
          <w:szCs w:val="24"/>
        </w:rPr>
      </w:pPr>
      <w:bookmarkStart w:id="12" w:name="_Toc3884556"/>
      <w:r>
        <w:rPr>
          <w:rFonts w:hint="eastAsia" w:ascii="Times New Roman" w:hAnsi="Times New Roman" w:eastAsia="仿宋"/>
          <w:sz w:val="24"/>
          <w:szCs w:val="24"/>
        </w:rPr>
        <w:t>三、目标任务</w:t>
      </w:r>
      <w:bookmarkEnd w:id="12"/>
    </w:p>
    <w:p>
      <w:pPr>
        <w:spacing w:line="600" w:lineRule="exact"/>
        <w:ind w:firstLine="562"/>
        <w:rPr>
          <w:rFonts w:ascii="Times New Roman" w:hAnsi="Times New Roman" w:eastAsia="仿宋"/>
          <w:b/>
          <w:bCs/>
          <w:sz w:val="24"/>
          <w:szCs w:val="24"/>
        </w:rPr>
      </w:pPr>
      <w:r>
        <w:rPr>
          <w:rFonts w:hint="eastAsia" w:ascii="Times New Roman" w:hAnsi="Times New Roman" w:eastAsia="仿宋"/>
          <w:b/>
          <w:bCs/>
          <w:sz w:val="24"/>
          <w:szCs w:val="24"/>
        </w:rPr>
        <w:t>（一）总体目标</w:t>
      </w:r>
    </w:p>
    <w:p>
      <w:pPr>
        <w:spacing w:line="600" w:lineRule="exact"/>
        <w:ind w:firstLine="560"/>
        <w:rPr>
          <w:rFonts w:ascii="Times New Roman" w:hAnsi="Times New Roman" w:eastAsia="仿宋"/>
          <w:sz w:val="24"/>
          <w:szCs w:val="24"/>
        </w:rPr>
      </w:pPr>
      <w:r>
        <w:rPr>
          <w:rFonts w:hint="eastAsia" w:ascii="Times New Roman" w:hAnsi="Times New Roman" w:eastAsia="仿宋"/>
          <w:sz w:val="24"/>
          <w:szCs w:val="24"/>
        </w:rPr>
        <w:t>到</w:t>
      </w:r>
      <w:r>
        <w:rPr>
          <w:rFonts w:ascii="Times New Roman" w:hAnsi="Times New Roman" w:eastAsia="仿宋"/>
          <w:sz w:val="24"/>
          <w:szCs w:val="24"/>
        </w:rPr>
        <w:t>2020</w:t>
      </w:r>
      <w:r>
        <w:rPr>
          <w:rFonts w:hint="eastAsia" w:ascii="Times New Roman" w:hAnsi="Times New Roman" w:eastAsia="仿宋"/>
          <w:sz w:val="24"/>
          <w:szCs w:val="24"/>
        </w:rPr>
        <w:t>年，实现农村人居环境明显改善，全域开展</w:t>
      </w:r>
      <w:r>
        <w:rPr>
          <w:rFonts w:ascii="Times New Roman" w:hAnsi="Times New Roman" w:eastAsia="仿宋"/>
          <w:sz w:val="24"/>
          <w:szCs w:val="24"/>
        </w:rPr>
        <w:t>“</w:t>
      </w:r>
      <w:r>
        <w:rPr>
          <w:rFonts w:hint="eastAsia" w:ascii="Times New Roman" w:hAnsi="Times New Roman" w:eastAsia="仿宋"/>
          <w:sz w:val="24"/>
          <w:szCs w:val="24"/>
        </w:rPr>
        <w:t>三清两改一提升</w:t>
      </w:r>
      <w:r>
        <w:rPr>
          <w:rFonts w:ascii="Times New Roman" w:hAnsi="Times New Roman" w:eastAsia="仿宋"/>
          <w:sz w:val="24"/>
          <w:szCs w:val="24"/>
        </w:rPr>
        <w:t>”</w:t>
      </w:r>
      <w:r>
        <w:rPr>
          <w:rFonts w:hint="eastAsia" w:ascii="Times New Roman" w:hAnsi="Times New Roman" w:eastAsia="仿宋"/>
          <w:sz w:val="24"/>
          <w:szCs w:val="24"/>
        </w:rPr>
        <w:t>村庄清洁行动，建立</w:t>
      </w:r>
      <w:r>
        <w:rPr>
          <w:rFonts w:ascii="Times New Roman" w:hAnsi="Times New Roman" w:eastAsia="仿宋"/>
          <w:sz w:val="24"/>
          <w:szCs w:val="24"/>
        </w:rPr>
        <w:t>“</w:t>
      </w:r>
      <w:r>
        <w:rPr>
          <w:rFonts w:hint="eastAsia" w:ascii="Times New Roman" w:hAnsi="Times New Roman" w:eastAsia="仿宋"/>
          <w:sz w:val="24"/>
          <w:szCs w:val="24"/>
        </w:rPr>
        <w:t>户分类、村收集、镇运输、县处理</w:t>
      </w:r>
      <w:r>
        <w:rPr>
          <w:rFonts w:ascii="Times New Roman" w:hAnsi="Times New Roman" w:eastAsia="仿宋"/>
          <w:sz w:val="24"/>
          <w:szCs w:val="24"/>
        </w:rPr>
        <w:t>”</w:t>
      </w:r>
      <w:r>
        <w:rPr>
          <w:rFonts w:hint="eastAsia" w:ascii="Times New Roman" w:hAnsi="Times New Roman" w:eastAsia="仿宋"/>
          <w:sz w:val="24"/>
          <w:szCs w:val="24"/>
        </w:rPr>
        <w:t>垃圾收运处置模式，村庄环境基本干净整洁有序，村民环境与健康意识普遍增强。力争实现</w:t>
      </w:r>
      <w:r>
        <w:rPr>
          <w:rFonts w:ascii="Times New Roman" w:hAnsi="Times New Roman" w:eastAsia="仿宋"/>
          <w:sz w:val="24"/>
          <w:szCs w:val="24"/>
        </w:rPr>
        <w:t>95%</w:t>
      </w:r>
      <w:r>
        <w:rPr>
          <w:rFonts w:hint="eastAsia" w:ascii="Times New Roman" w:hAnsi="Times New Roman" w:eastAsia="仿宋"/>
          <w:sz w:val="24"/>
          <w:szCs w:val="24"/>
        </w:rPr>
        <w:t>以上的行政村生活垃圾得到治理，卫生厕所普及率达到</w:t>
      </w:r>
      <w:r>
        <w:rPr>
          <w:rFonts w:ascii="Times New Roman" w:hAnsi="Times New Roman" w:eastAsia="仿宋"/>
          <w:sz w:val="24"/>
          <w:szCs w:val="24"/>
        </w:rPr>
        <w:t>95%</w:t>
      </w:r>
      <w:r>
        <w:rPr>
          <w:rFonts w:hint="eastAsia" w:ascii="Times New Roman" w:hAnsi="Times New Roman" w:eastAsia="仿宋"/>
          <w:sz w:val="24"/>
          <w:szCs w:val="24"/>
        </w:rPr>
        <w:t>，</w:t>
      </w:r>
      <w:r>
        <w:rPr>
          <w:rFonts w:ascii="Times New Roman" w:hAnsi="Times New Roman" w:eastAsia="仿宋"/>
          <w:sz w:val="24"/>
          <w:szCs w:val="24"/>
        </w:rPr>
        <w:t>85%</w:t>
      </w:r>
      <w:r>
        <w:rPr>
          <w:rFonts w:hint="eastAsia" w:ascii="Times New Roman" w:hAnsi="Times New Roman" w:eastAsia="仿宋"/>
          <w:sz w:val="24"/>
          <w:szCs w:val="24"/>
        </w:rPr>
        <w:t>左右的行政村农村生活污水得到有效处理，村民小组保洁员配备率达到</w:t>
      </w:r>
      <w:r>
        <w:rPr>
          <w:rFonts w:ascii="Times New Roman" w:hAnsi="Times New Roman" w:eastAsia="仿宋"/>
          <w:sz w:val="24"/>
          <w:szCs w:val="24"/>
        </w:rPr>
        <w:t>100%</w:t>
      </w:r>
      <w:r>
        <w:rPr>
          <w:rFonts w:hint="eastAsia" w:ascii="Times New Roman" w:hAnsi="Times New Roman" w:eastAsia="仿宋"/>
          <w:sz w:val="24"/>
          <w:szCs w:val="24"/>
        </w:rPr>
        <w:t>，村内道路通行条件明显改善，村容村貌显著提升，管护长效机制初步建立。进一步推进省级</w:t>
      </w:r>
      <w:r>
        <w:rPr>
          <w:rFonts w:ascii="Times New Roman" w:hAnsi="Times New Roman" w:eastAsia="仿宋"/>
          <w:sz w:val="24"/>
          <w:szCs w:val="24"/>
        </w:rPr>
        <w:t>“</w:t>
      </w:r>
      <w:r>
        <w:rPr>
          <w:rFonts w:hint="eastAsia" w:ascii="Times New Roman" w:hAnsi="Times New Roman" w:eastAsia="仿宋"/>
          <w:sz w:val="24"/>
          <w:szCs w:val="24"/>
        </w:rPr>
        <w:t>四好村</w:t>
      </w:r>
      <w:r>
        <w:rPr>
          <w:rFonts w:ascii="Times New Roman" w:hAnsi="Times New Roman" w:eastAsia="仿宋"/>
          <w:sz w:val="24"/>
          <w:szCs w:val="24"/>
        </w:rPr>
        <w:t>”</w:t>
      </w:r>
      <w:r>
        <w:rPr>
          <w:rFonts w:hint="eastAsia" w:ascii="Times New Roman" w:hAnsi="Times New Roman" w:eastAsia="仿宋"/>
          <w:sz w:val="24"/>
          <w:szCs w:val="24"/>
        </w:rPr>
        <w:t>创建，基本实现</w:t>
      </w:r>
      <w:r>
        <w:rPr>
          <w:rFonts w:ascii="Times New Roman" w:hAnsi="Times New Roman" w:eastAsia="仿宋"/>
          <w:sz w:val="24"/>
          <w:szCs w:val="24"/>
        </w:rPr>
        <w:t>“</w:t>
      </w:r>
      <w:r>
        <w:rPr>
          <w:rFonts w:hint="eastAsia" w:ascii="Times New Roman" w:hAnsi="Times New Roman" w:eastAsia="仿宋"/>
          <w:sz w:val="24"/>
          <w:szCs w:val="24"/>
        </w:rPr>
        <w:t>业兴、家富、人和、村美</w:t>
      </w:r>
      <w:r>
        <w:rPr>
          <w:rFonts w:ascii="Times New Roman" w:hAnsi="Times New Roman" w:eastAsia="仿宋"/>
          <w:sz w:val="24"/>
          <w:szCs w:val="24"/>
        </w:rPr>
        <w:t>”</w:t>
      </w:r>
      <w:r>
        <w:rPr>
          <w:rFonts w:hint="eastAsia" w:ascii="Times New Roman" w:hAnsi="Times New Roman" w:eastAsia="仿宋"/>
          <w:sz w:val="24"/>
          <w:szCs w:val="24"/>
        </w:rPr>
        <w:t>建设目标。</w:t>
      </w:r>
    </w:p>
    <w:p>
      <w:pPr>
        <w:spacing w:line="600" w:lineRule="exact"/>
        <w:ind w:firstLine="562"/>
        <w:rPr>
          <w:rFonts w:ascii="Times New Roman" w:hAnsi="Times New Roman" w:eastAsia="仿宋"/>
          <w:b/>
          <w:bCs/>
          <w:sz w:val="24"/>
          <w:szCs w:val="24"/>
        </w:rPr>
      </w:pPr>
      <w:r>
        <w:rPr>
          <w:rFonts w:hint="eastAsia" w:ascii="Times New Roman" w:hAnsi="Times New Roman" w:eastAsia="仿宋"/>
          <w:b/>
          <w:bCs/>
          <w:sz w:val="24"/>
          <w:szCs w:val="24"/>
        </w:rPr>
        <w:t>（二）具体目标</w:t>
      </w:r>
    </w:p>
    <w:p>
      <w:pPr>
        <w:spacing w:line="600" w:lineRule="exact"/>
        <w:ind w:firstLine="560"/>
        <w:rPr>
          <w:rFonts w:ascii="Times New Roman" w:hAnsi="Times New Roman" w:eastAsia="仿宋"/>
          <w:color w:val="000000"/>
          <w:kern w:val="0"/>
          <w:sz w:val="24"/>
          <w:szCs w:val="24"/>
          <w:shd w:val="clear" w:color="auto" w:fill="FFFFFF"/>
        </w:rPr>
      </w:pPr>
      <w:r>
        <w:rPr>
          <w:rFonts w:hint="eastAsia" w:ascii="Times New Roman" w:hAnsi="Times New Roman" w:eastAsia="仿宋"/>
          <w:sz w:val="24"/>
          <w:szCs w:val="24"/>
        </w:rPr>
        <w:t>到</w:t>
      </w:r>
      <w:r>
        <w:rPr>
          <w:rFonts w:ascii="Times New Roman" w:hAnsi="Times New Roman" w:eastAsia="仿宋"/>
          <w:sz w:val="24"/>
          <w:szCs w:val="24"/>
        </w:rPr>
        <w:t>2020</w:t>
      </w:r>
      <w:r>
        <w:rPr>
          <w:rFonts w:hint="eastAsia" w:ascii="Times New Roman" w:hAnsi="Times New Roman" w:eastAsia="仿宋"/>
          <w:sz w:val="24"/>
          <w:szCs w:val="24"/>
        </w:rPr>
        <w:t>年全县农村生活垃圾得到有效处理的村覆盖率达到</w:t>
      </w:r>
      <w:r>
        <w:rPr>
          <w:rFonts w:ascii="Times New Roman" w:hAnsi="Times New Roman" w:eastAsia="仿宋"/>
          <w:sz w:val="24"/>
          <w:szCs w:val="24"/>
        </w:rPr>
        <w:t>95%</w:t>
      </w:r>
      <w:r>
        <w:rPr>
          <w:rFonts w:hint="eastAsia" w:ascii="Times New Roman" w:hAnsi="Times New Roman" w:eastAsia="仿宋"/>
          <w:sz w:val="24"/>
          <w:szCs w:val="24"/>
        </w:rPr>
        <w:t>以上；农村生活污水得到有效处理的村覆盖率达到</w:t>
      </w:r>
      <w:r>
        <w:rPr>
          <w:rFonts w:ascii="Times New Roman" w:hAnsi="Times New Roman" w:eastAsia="仿宋"/>
          <w:sz w:val="24"/>
          <w:szCs w:val="24"/>
        </w:rPr>
        <w:t>85%</w:t>
      </w:r>
      <w:r>
        <w:rPr>
          <w:rFonts w:hint="eastAsia" w:ascii="Times New Roman" w:hAnsi="Times New Roman" w:eastAsia="仿宋"/>
          <w:sz w:val="24"/>
          <w:szCs w:val="24"/>
        </w:rPr>
        <w:t>；</w:t>
      </w:r>
      <w:r>
        <w:rPr>
          <w:rFonts w:hint="eastAsia" w:ascii="Times New Roman" w:hAnsi="Times New Roman" w:eastAsia="仿宋"/>
          <w:color w:val="000000"/>
          <w:sz w:val="24"/>
          <w:szCs w:val="24"/>
        </w:rPr>
        <w:t>全面消除农村黑臭水体；</w:t>
      </w:r>
      <w:r>
        <w:rPr>
          <w:rFonts w:hint="eastAsia" w:ascii="Times New Roman" w:hAnsi="Times New Roman" w:eastAsia="仿宋"/>
          <w:color w:val="000000"/>
          <w:sz w:val="24"/>
          <w:szCs w:val="24"/>
          <w:lang w:eastAsia="zh-CN"/>
        </w:rPr>
        <w:t>村民小组</w:t>
      </w:r>
      <w:r>
        <w:rPr>
          <w:rFonts w:hint="eastAsia" w:ascii="Times New Roman" w:hAnsi="Times New Roman" w:eastAsia="仿宋"/>
          <w:color w:val="000000"/>
          <w:sz w:val="24"/>
          <w:szCs w:val="24"/>
        </w:rPr>
        <w:t>保洁员配备率达到</w:t>
      </w:r>
      <w:r>
        <w:rPr>
          <w:rFonts w:ascii="Times New Roman" w:hAnsi="Times New Roman" w:eastAsia="仿宋"/>
          <w:color w:val="000000"/>
          <w:sz w:val="24"/>
          <w:szCs w:val="24"/>
        </w:rPr>
        <w:t>100%</w:t>
      </w:r>
      <w:r>
        <w:rPr>
          <w:rFonts w:hint="eastAsia" w:ascii="Times New Roman" w:hAnsi="Times New Roman" w:eastAsia="仿宋"/>
          <w:color w:val="000000"/>
          <w:sz w:val="24"/>
          <w:szCs w:val="24"/>
        </w:rPr>
        <w:t>；户用卫生厕所普及率达到</w:t>
      </w:r>
      <w:r>
        <w:rPr>
          <w:rFonts w:ascii="Times New Roman" w:hAnsi="Times New Roman" w:eastAsia="仿宋"/>
          <w:color w:val="000000"/>
          <w:sz w:val="24"/>
          <w:szCs w:val="24"/>
        </w:rPr>
        <w:t>95%</w:t>
      </w:r>
      <w:r>
        <w:rPr>
          <w:rFonts w:hint="eastAsia" w:ascii="Times New Roman" w:hAnsi="Times New Roman" w:eastAsia="仿宋"/>
          <w:color w:val="000000"/>
          <w:sz w:val="24"/>
          <w:szCs w:val="24"/>
        </w:rPr>
        <w:t>；有独立的、管理良好、干净整洁、粪污得到有效处理的农村公共厕所；化肥农药用量减少幅度达到</w:t>
      </w:r>
      <w:r>
        <w:rPr>
          <w:rFonts w:ascii="Times New Roman" w:hAnsi="Times New Roman" w:eastAsia="仿宋"/>
          <w:color w:val="000000"/>
          <w:sz w:val="24"/>
          <w:szCs w:val="24"/>
        </w:rPr>
        <w:t>20%</w:t>
      </w:r>
      <w:r>
        <w:rPr>
          <w:rFonts w:hint="eastAsia" w:ascii="Times New Roman" w:hAnsi="Times New Roman" w:eastAsia="仿宋"/>
          <w:color w:val="000000"/>
          <w:sz w:val="24"/>
          <w:szCs w:val="24"/>
        </w:rPr>
        <w:t>以上；农业废弃物资源化利用及回收处置率达到</w:t>
      </w:r>
      <w:r>
        <w:rPr>
          <w:rFonts w:ascii="Times New Roman" w:hAnsi="Times New Roman" w:eastAsia="仿宋"/>
          <w:color w:val="000000"/>
          <w:sz w:val="24"/>
          <w:szCs w:val="24"/>
        </w:rPr>
        <w:t>85%</w:t>
      </w:r>
      <w:r>
        <w:rPr>
          <w:rFonts w:hint="eastAsia" w:ascii="Times New Roman" w:hAnsi="Times New Roman" w:eastAsia="仿宋"/>
          <w:color w:val="000000"/>
          <w:sz w:val="24"/>
          <w:szCs w:val="24"/>
        </w:rPr>
        <w:t>以上；全面落实</w:t>
      </w:r>
      <w:r>
        <w:rPr>
          <w:rFonts w:ascii="Times New Roman" w:hAnsi="Times New Roman" w:eastAsia="仿宋"/>
          <w:color w:val="000000"/>
          <w:sz w:val="24"/>
          <w:szCs w:val="24"/>
        </w:rPr>
        <w:t>“</w:t>
      </w:r>
      <w:r>
        <w:rPr>
          <w:rFonts w:hint="eastAsia" w:ascii="Times New Roman" w:hAnsi="Times New Roman" w:eastAsia="仿宋"/>
          <w:color w:val="000000"/>
          <w:sz w:val="24"/>
          <w:szCs w:val="24"/>
        </w:rPr>
        <w:t>有制度、有标准、有队伍、有经费、有督查</w:t>
      </w:r>
      <w:r>
        <w:rPr>
          <w:rFonts w:ascii="Times New Roman" w:hAnsi="Times New Roman" w:eastAsia="仿宋"/>
          <w:color w:val="000000"/>
          <w:sz w:val="24"/>
          <w:szCs w:val="24"/>
        </w:rPr>
        <w:t>”</w:t>
      </w:r>
      <w:r>
        <w:rPr>
          <w:rFonts w:hint="eastAsia" w:ascii="Times New Roman" w:hAnsi="Times New Roman" w:eastAsia="仿宋"/>
          <w:color w:val="000000"/>
          <w:sz w:val="24"/>
          <w:szCs w:val="24"/>
        </w:rPr>
        <w:t>的农村人居环境整治长效管护机制；</w:t>
      </w:r>
      <w:r>
        <w:rPr>
          <w:rFonts w:ascii="Times New Roman" w:hAnsi="Times New Roman" w:eastAsia="仿宋"/>
          <w:color w:val="000000"/>
          <w:sz w:val="24"/>
          <w:szCs w:val="24"/>
        </w:rPr>
        <w:t>“</w:t>
      </w:r>
      <w:r>
        <w:rPr>
          <w:rFonts w:hint="eastAsia" w:ascii="Times New Roman" w:hAnsi="Times New Roman" w:eastAsia="仿宋"/>
          <w:color w:val="000000"/>
          <w:sz w:val="24"/>
          <w:szCs w:val="24"/>
        </w:rPr>
        <w:t>六网一中心</w:t>
      </w:r>
      <w:r>
        <w:rPr>
          <w:rFonts w:ascii="Times New Roman" w:hAnsi="Times New Roman" w:eastAsia="仿宋"/>
          <w:color w:val="000000"/>
          <w:sz w:val="24"/>
          <w:szCs w:val="24"/>
        </w:rPr>
        <w:t>”</w:t>
      </w:r>
      <w:r>
        <w:rPr>
          <w:rFonts w:hint="eastAsia" w:ascii="Times New Roman" w:hAnsi="Times New Roman" w:eastAsia="仿宋"/>
          <w:color w:val="000000"/>
          <w:sz w:val="24"/>
          <w:szCs w:val="24"/>
        </w:rPr>
        <w:t>基础设施建设和村容村貌</w:t>
      </w:r>
      <w:r>
        <w:rPr>
          <w:rFonts w:ascii="Times New Roman" w:hAnsi="Times New Roman" w:eastAsia="仿宋"/>
          <w:color w:val="000000"/>
          <w:sz w:val="24"/>
          <w:szCs w:val="24"/>
        </w:rPr>
        <w:t>“</w:t>
      </w:r>
      <w:r>
        <w:rPr>
          <w:rFonts w:hint="eastAsia" w:ascii="Times New Roman" w:hAnsi="Times New Roman" w:eastAsia="仿宋"/>
          <w:color w:val="000000"/>
          <w:sz w:val="24"/>
          <w:szCs w:val="24"/>
        </w:rPr>
        <w:t>六化</w:t>
      </w:r>
      <w:r>
        <w:rPr>
          <w:rFonts w:ascii="Times New Roman" w:hAnsi="Times New Roman" w:eastAsia="仿宋"/>
          <w:color w:val="000000"/>
          <w:sz w:val="24"/>
          <w:szCs w:val="24"/>
        </w:rPr>
        <w:t>”</w:t>
      </w:r>
      <w:r>
        <w:rPr>
          <w:rFonts w:hint="eastAsia" w:ascii="Times New Roman" w:hAnsi="Times New Roman" w:eastAsia="仿宋"/>
          <w:color w:val="000000"/>
          <w:sz w:val="24"/>
          <w:szCs w:val="24"/>
        </w:rPr>
        <w:t>的实施水平处于类区前列。</w:t>
      </w:r>
      <w:bookmarkStart w:id="13" w:name="_Toc3884557"/>
      <w:r>
        <w:rPr>
          <w:rFonts w:hint="eastAsia" w:ascii="Times New Roman" w:hAnsi="Times New Roman" w:eastAsia="仿宋"/>
          <w:color w:val="000000"/>
          <w:sz w:val="24"/>
          <w:szCs w:val="24"/>
          <w:lang w:val="en-US" w:eastAsia="zh-CN"/>
        </w:rPr>
        <w:t xml:space="preserve">                       </w:t>
      </w:r>
      <w:bookmarkEnd w:id="13"/>
    </w:p>
    <w:p>
      <w:pPr>
        <w:spacing w:line="600" w:lineRule="exact"/>
        <w:ind w:firstLine="0" w:firstLineChars="0"/>
        <w:rPr>
          <w:rFonts w:ascii="Times New Roman" w:hAnsi="Times New Roman" w:eastAsia="仿宋"/>
          <w:sz w:val="24"/>
          <w:szCs w:val="24"/>
        </w:rPr>
      </w:pPr>
    </w:p>
    <w:p>
      <w:pPr>
        <w:pStyle w:val="4"/>
        <w:spacing w:line="600" w:lineRule="exact"/>
        <w:ind w:firstLine="0" w:firstLineChars="0"/>
        <w:jc w:val="center"/>
        <w:rPr>
          <w:rFonts w:ascii="Times New Roman" w:hAnsi="Times New Roman" w:eastAsia="仿宋"/>
          <w:b/>
          <w:bCs/>
          <w:sz w:val="24"/>
          <w:szCs w:val="24"/>
        </w:rPr>
      </w:pPr>
      <w:bookmarkStart w:id="14" w:name="_Toc3884560"/>
      <w:r>
        <w:rPr>
          <w:rFonts w:hint="eastAsia" w:ascii="Times New Roman" w:hAnsi="Times New Roman" w:eastAsia="仿宋"/>
          <w:b/>
          <w:bCs/>
          <w:sz w:val="24"/>
          <w:szCs w:val="24"/>
        </w:rPr>
        <w:t>第</w:t>
      </w:r>
      <w:r>
        <w:rPr>
          <w:rFonts w:hint="eastAsia" w:ascii="Times New Roman" w:hAnsi="Times New Roman" w:eastAsia="仿宋"/>
          <w:b/>
          <w:bCs/>
          <w:sz w:val="24"/>
          <w:szCs w:val="24"/>
          <w:lang w:val="en-US" w:eastAsia="zh-CN"/>
        </w:rPr>
        <w:t>四</w:t>
      </w:r>
      <w:r>
        <w:rPr>
          <w:rFonts w:hint="eastAsia" w:ascii="Times New Roman" w:hAnsi="Times New Roman" w:eastAsia="仿宋"/>
          <w:b/>
          <w:bCs/>
          <w:sz w:val="24"/>
          <w:szCs w:val="24"/>
        </w:rPr>
        <w:t>章</w:t>
      </w:r>
      <w:r>
        <w:rPr>
          <w:rFonts w:ascii="Times New Roman" w:hAnsi="Times New Roman" w:eastAsia="仿宋"/>
          <w:b/>
          <w:bCs/>
          <w:sz w:val="24"/>
          <w:szCs w:val="24"/>
        </w:rPr>
        <w:t xml:space="preserve"> </w:t>
      </w:r>
      <w:r>
        <w:rPr>
          <w:rFonts w:hint="eastAsia" w:ascii="Times New Roman" w:hAnsi="Times New Roman" w:eastAsia="仿宋"/>
          <w:b/>
          <w:bCs/>
          <w:sz w:val="24"/>
          <w:szCs w:val="24"/>
        </w:rPr>
        <w:t>进度计划</w:t>
      </w:r>
      <w:bookmarkEnd w:id="14"/>
    </w:p>
    <w:p>
      <w:pPr>
        <w:pStyle w:val="20"/>
        <w:keepNext w:val="0"/>
        <w:keepLines w:val="0"/>
        <w:pageBreakBefore w:val="0"/>
        <w:widowControl w:val="0"/>
        <w:kinsoku/>
        <w:wordWrap/>
        <w:overflowPunct/>
        <w:topLinePunct w:val="0"/>
        <w:autoSpaceDE/>
        <w:autoSpaceDN/>
        <w:bidi w:val="0"/>
        <w:adjustRightInd/>
        <w:snapToGrid/>
        <w:spacing w:after="0" w:line="324" w:lineRule="auto"/>
        <w:ind w:left="0" w:leftChars="0" w:firstLine="640"/>
        <w:textAlignment w:val="auto"/>
        <w:rPr>
          <w:rFonts w:hint="eastAsia" w:ascii="楷体_GB2312" w:hAnsi="楷体_GB2312" w:eastAsia="楷体_GB2312" w:cs="楷体_GB2312"/>
          <w:b w:val="0"/>
          <w:bCs w:val="0"/>
          <w:sz w:val="24"/>
          <w:szCs w:val="24"/>
        </w:rPr>
      </w:pPr>
      <w:bookmarkStart w:id="15" w:name="_Toc3884567"/>
      <w:r>
        <w:rPr>
          <w:rFonts w:hint="eastAsia" w:ascii="楷体_GB2312" w:hAnsi="楷体_GB2312" w:eastAsia="楷体_GB2312" w:cs="楷体_GB2312"/>
          <w:b w:val="0"/>
          <w:bCs w:val="0"/>
          <w:sz w:val="24"/>
          <w:szCs w:val="24"/>
        </w:rPr>
        <w:t>（一）宣传动员、调查摸底阶段(2019年3月—4月)</w:t>
      </w:r>
    </w:p>
    <w:p>
      <w:pPr>
        <w:pStyle w:val="20"/>
        <w:keepNext w:val="0"/>
        <w:keepLines w:val="0"/>
        <w:pageBreakBefore w:val="0"/>
        <w:widowControl w:val="0"/>
        <w:kinsoku/>
        <w:wordWrap/>
        <w:overflowPunct/>
        <w:topLinePunct w:val="0"/>
        <w:autoSpaceDE/>
        <w:autoSpaceDN/>
        <w:bidi w:val="0"/>
        <w:adjustRightInd/>
        <w:snapToGrid/>
        <w:spacing w:after="0" w:line="324" w:lineRule="auto"/>
        <w:ind w:left="0" w:leftChars="0" w:firstLine="640"/>
        <w:textAlignment w:val="auto"/>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各镇成立由党政主要负责人任组长的农村厕所改造工作领导小组，召开动员部署大会,进行动员部署，制定实施方案。各行政村也要在前期调查摸底的基础上，建立有村社代表组成的议事代表机构，召开动员会议，明确改造任务，启动改厕工作。</w:t>
      </w:r>
    </w:p>
    <w:p>
      <w:pPr>
        <w:pStyle w:val="20"/>
        <w:keepNext w:val="0"/>
        <w:keepLines w:val="0"/>
        <w:pageBreakBefore w:val="0"/>
        <w:widowControl w:val="0"/>
        <w:kinsoku/>
        <w:wordWrap/>
        <w:overflowPunct/>
        <w:topLinePunct w:val="0"/>
        <w:autoSpaceDE/>
        <w:autoSpaceDN/>
        <w:bidi w:val="0"/>
        <w:adjustRightInd/>
        <w:snapToGrid/>
        <w:spacing w:after="0" w:line="324" w:lineRule="auto"/>
        <w:ind w:left="0" w:leftChars="0" w:firstLine="640"/>
        <w:textAlignment w:val="auto"/>
        <w:rPr>
          <w:rFonts w:hint="eastAsia" w:ascii="楷体_GB2312" w:hAnsi="楷体_GB2312" w:eastAsia="楷体_GB2312" w:cs="楷体_GB2312"/>
          <w:b w:val="0"/>
          <w:bCs w:val="0"/>
          <w:sz w:val="24"/>
          <w:szCs w:val="24"/>
        </w:rPr>
      </w:pPr>
      <w:r>
        <w:rPr>
          <w:rFonts w:hint="eastAsia" w:ascii="楷体_GB2312" w:hAnsi="楷体_GB2312" w:eastAsia="楷体_GB2312" w:cs="楷体_GB2312"/>
          <w:b w:val="0"/>
          <w:bCs w:val="0"/>
          <w:sz w:val="24"/>
          <w:szCs w:val="24"/>
        </w:rPr>
        <w:t>（二）试点先行、探索经验阶段（2019年4月-5月）</w:t>
      </w:r>
    </w:p>
    <w:p>
      <w:pPr>
        <w:pStyle w:val="20"/>
        <w:keepNext w:val="0"/>
        <w:keepLines w:val="0"/>
        <w:pageBreakBefore w:val="0"/>
        <w:widowControl w:val="0"/>
        <w:kinsoku/>
        <w:wordWrap/>
        <w:overflowPunct/>
        <w:topLinePunct w:val="0"/>
        <w:autoSpaceDE/>
        <w:autoSpaceDN/>
        <w:bidi w:val="0"/>
        <w:adjustRightInd/>
        <w:snapToGrid/>
        <w:spacing w:after="0" w:line="324" w:lineRule="auto"/>
        <w:ind w:left="0" w:leftChars="0" w:firstLine="640"/>
        <w:textAlignment w:val="auto"/>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坚持试点先行，将瞿河</w:t>
      </w:r>
      <w:r>
        <w:rPr>
          <w:rFonts w:hint="eastAsia" w:ascii="仿宋_GB2312" w:hAnsi="仿宋_GB2312" w:eastAsia="仿宋_GB2312" w:cs="仿宋_GB2312"/>
          <w:b w:val="0"/>
          <w:bCs w:val="0"/>
          <w:sz w:val="24"/>
          <w:szCs w:val="24"/>
          <w:lang w:eastAsia="zh-CN"/>
        </w:rPr>
        <w:t>镇</w:t>
      </w:r>
      <w:r>
        <w:rPr>
          <w:rFonts w:hint="eastAsia" w:ascii="仿宋_GB2312" w:hAnsi="仿宋_GB2312" w:eastAsia="仿宋_GB2312" w:cs="仿宋_GB2312"/>
          <w:b w:val="0"/>
          <w:bCs w:val="0"/>
          <w:sz w:val="24"/>
          <w:szCs w:val="24"/>
        </w:rPr>
        <w:t>纳入人居环境整治整乡推进，确定2个市级美丽宜居试点村（沱牌镇青岗村、青龙村）、11个人居环境整治示范村和39个重点村。同时在瞿河</w:t>
      </w:r>
      <w:r>
        <w:rPr>
          <w:rFonts w:hint="eastAsia" w:ascii="仿宋_GB2312" w:hAnsi="仿宋_GB2312" w:eastAsia="仿宋_GB2312" w:cs="仿宋_GB2312"/>
          <w:b w:val="0"/>
          <w:bCs w:val="0"/>
          <w:sz w:val="24"/>
          <w:szCs w:val="24"/>
          <w:lang w:eastAsia="zh-CN"/>
        </w:rPr>
        <w:t>镇</w:t>
      </w:r>
      <w:r>
        <w:rPr>
          <w:rFonts w:hint="eastAsia" w:ascii="仿宋_GB2312" w:hAnsi="仿宋_GB2312" w:eastAsia="仿宋_GB2312" w:cs="仿宋_GB2312"/>
          <w:b w:val="0"/>
          <w:bCs w:val="0"/>
          <w:sz w:val="24"/>
          <w:szCs w:val="24"/>
        </w:rPr>
        <w:t>高家沟村、板板桥村、刘李村、沱牌镇青岗村、青龙村、</w:t>
      </w:r>
      <w:r>
        <w:rPr>
          <w:rFonts w:hint="eastAsia" w:ascii="仿宋_GB2312" w:hAnsi="仿宋_GB2312" w:eastAsia="仿宋_GB2312" w:cs="仿宋_GB2312"/>
          <w:b w:val="0"/>
          <w:bCs w:val="0"/>
          <w:sz w:val="24"/>
          <w:szCs w:val="24"/>
          <w:lang w:eastAsia="zh-CN"/>
        </w:rPr>
        <w:t>大榆镇</w:t>
      </w:r>
      <w:r>
        <w:rPr>
          <w:rFonts w:hint="eastAsia" w:ascii="仿宋_GB2312" w:hAnsi="仿宋_GB2312" w:eastAsia="仿宋_GB2312" w:cs="仿宋_GB2312"/>
          <w:b w:val="0"/>
          <w:bCs w:val="0"/>
          <w:sz w:val="24"/>
          <w:szCs w:val="24"/>
        </w:rPr>
        <w:t>文家坝村分别选取10-20户示范户开展试点工作，在5月中旬前完成厕所、垃圾处理试点任务，6月初完成污水处理试点任务，为全县面上推进工作探索经验。各镇也要选取1-2个示范点先行先试，为县全面推进“厕所、垃圾、污水”三大革命工作探索经验。</w:t>
      </w:r>
    </w:p>
    <w:p>
      <w:pPr>
        <w:pStyle w:val="20"/>
        <w:keepNext w:val="0"/>
        <w:keepLines w:val="0"/>
        <w:pageBreakBefore w:val="0"/>
        <w:widowControl w:val="0"/>
        <w:kinsoku/>
        <w:wordWrap/>
        <w:overflowPunct/>
        <w:topLinePunct w:val="0"/>
        <w:autoSpaceDE/>
        <w:autoSpaceDN/>
        <w:bidi w:val="0"/>
        <w:adjustRightInd/>
        <w:snapToGrid/>
        <w:spacing w:after="0" w:line="324" w:lineRule="auto"/>
        <w:ind w:left="0" w:leftChars="0" w:firstLine="640"/>
        <w:textAlignment w:val="auto"/>
        <w:rPr>
          <w:rFonts w:hint="eastAsia" w:ascii="楷体_GB2312" w:hAnsi="楷体_GB2312" w:eastAsia="楷体_GB2312" w:cs="楷体_GB2312"/>
          <w:b w:val="0"/>
          <w:bCs w:val="0"/>
          <w:sz w:val="24"/>
          <w:szCs w:val="24"/>
        </w:rPr>
      </w:pPr>
      <w:r>
        <w:rPr>
          <w:rFonts w:hint="eastAsia" w:ascii="楷体_GB2312" w:hAnsi="楷体_GB2312" w:eastAsia="楷体_GB2312" w:cs="楷体_GB2312"/>
          <w:b w:val="0"/>
          <w:bCs w:val="0"/>
          <w:sz w:val="24"/>
          <w:szCs w:val="24"/>
        </w:rPr>
        <w:t>（三）全面实施阶段(2019年5月至2019年11月)</w:t>
      </w:r>
    </w:p>
    <w:p>
      <w:pPr>
        <w:pStyle w:val="20"/>
        <w:keepNext w:val="0"/>
        <w:keepLines w:val="0"/>
        <w:pageBreakBefore w:val="0"/>
        <w:widowControl w:val="0"/>
        <w:kinsoku/>
        <w:wordWrap/>
        <w:overflowPunct/>
        <w:topLinePunct w:val="0"/>
        <w:autoSpaceDE/>
        <w:autoSpaceDN/>
        <w:bidi w:val="0"/>
        <w:adjustRightInd/>
        <w:snapToGrid/>
        <w:spacing w:after="0" w:line="324" w:lineRule="auto"/>
        <w:ind w:left="0" w:leftChars="0" w:firstLine="640"/>
        <w:textAlignment w:val="auto"/>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各镇要按照实施方案和任务要求，首先建立改厕示范户，让村民现场参观</w:t>
      </w:r>
      <w:r>
        <w:rPr>
          <w:rFonts w:hint="eastAsia" w:ascii="仿宋_GB2312" w:hAnsi="仿宋_GB2312" w:eastAsia="仿宋_GB2312" w:cs="仿宋_GB2312"/>
          <w:b w:val="0"/>
          <w:bCs w:val="0"/>
          <w:sz w:val="24"/>
          <w:szCs w:val="24"/>
          <w:lang w:eastAsia="zh-CN"/>
        </w:rPr>
        <w:t>改厕样板</w:t>
      </w:r>
      <w:r>
        <w:rPr>
          <w:rFonts w:hint="eastAsia" w:ascii="仿宋_GB2312" w:hAnsi="仿宋_GB2312" w:eastAsia="仿宋_GB2312" w:cs="仿宋_GB2312"/>
          <w:b w:val="0"/>
          <w:bCs w:val="0"/>
          <w:sz w:val="24"/>
          <w:szCs w:val="24"/>
        </w:rPr>
        <w:t>、亲身体验</w:t>
      </w:r>
      <w:r>
        <w:rPr>
          <w:rFonts w:hint="eastAsia" w:ascii="仿宋_GB2312" w:hAnsi="仿宋_GB2312" w:eastAsia="仿宋_GB2312" w:cs="仿宋_GB2312"/>
          <w:b w:val="0"/>
          <w:bCs w:val="0"/>
          <w:sz w:val="24"/>
          <w:szCs w:val="24"/>
          <w:lang w:eastAsia="zh-CN"/>
        </w:rPr>
        <w:t>整治效果</w:t>
      </w:r>
      <w:r>
        <w:rPr>
          <w:rFonts w:hint="eastAsia" w:ascii="仿宋_GB2312" w:hAnsi="仿宋_GB2312" w:eastAsia="仿宋_GB2312" w:cs="仿宋_GB2312"/>
          <w:b w:val="0"/>
          <w:bCs w:val="0"/>
          <w:sz w:val="24"/>
          <w:szCs w:val="24"/>
        </w:rPr>
        <w:t>，充分调动村民参与的积极性，自主申请、科学规划整治标准和项目内容，整村推进厕所无害化改造工作。在施工过程中，要充分尊重农民意愿，并指导农户科学使用、定期维护。</w:t>
      </w:r>
    </w:p>
    <w:p>
      <w:pPr>
        <w:keepNext w:val="0"/>
        <w:keepLines w:val="0"/>
        <w:pageBreakBefore w:val="0"/>
        <w:widowControl w:val="0"/>
        <w:kinsoku/>
        <w:wordWrap/>
        <w:overflowPunct/>
        <w:topLinePunct w:val="0"/>
        <w:autoSpaceDE/>
        <w:autoSpaceDN/>
        <w:bidi w:val="0"/>
        <w:adjustRightInd/>
        <w:snapToGrid/>
        <w:spacing w:line="324" w:lineRule="auto"/>
        <w:ind w:firstLine="480" w:firstLineChars="200"/>
        <w:textAlignment w:val="auto"/>
        <w:rPr>
          <w:rFonts w:hint="eastAsia" w:ascii="楷体_GB2312" w:hAnsi="楷体_GB2312" w:eastAsia="楷体_GB2312" w:cs="楷体_GB2312"/>
          <w:b w:val="0"/>
          <w:bCs w:val="0"/>
          <w:sz w:val="24"/>
          <w:szCs w:val="24"/>
        </w:rPr>
      </w:pPr>
      <w:r>
        <w:rPr>
          <w:rFonts w:hint="eastAsia" w:ascii="楷体_GB2312" w:hAnsi="楷体_GB2312" w:eastAsia="楷体_GB2312" w:cs="楷体_GB2312"/>
          <w:b w:val="0"/>
          <w:bCs w:val="0"/>
          <w:sz w:val="24"/>
          <w:szCs w:val="24"/>
        </w:rPr>
        <w:t>（</w:t>
      </w:r>
      <w:r>
        <w:rPr>
          <w:rFonts w:hint="eastAsia" w:ascii="楷体_GB2312" w:hAnsi="楷体_GB2312" w:eastAsia="楷体_GB2312" w:cs="楷体_GB2312"/>
          <w:b w:val="0"/>
          <w:bCs w:val="0"/>
          <w:sz w:val="24"/>
          <w:szCs w:val="24"/>
          <w:lang w:eastAsia="zh-CN"/>
        </w:rPr>
        <w:t>四</w:t>
      </w:r>
      <w:r>
        <w:rPr>
          <w:rFonts w:hint="eastAsia" w:ascii="楷体_GB2312" w:hAnsi="楷体_GB2312" w:eastAsia="楷体_GB2312" w:cs="楷体_GB2312"/>
          <w:b w:val="0"/>
          <w:bCs w:val="0"/>
          <w:sz w:val="24"/>
          <w:szCs w:val="24"/>
        </w:rPr>
        <w:t>）项目验收阶段（2019年12月）</w:t>
      </w:r>
    </w:p>
    <w:p>
      <w:pPr>
        <w:keepNext w:val="0"/>
        <w:keepLines w:val="0"/>
        <w:pageBreakBefore w:val="0"/>
        <w:widowControl w:val="0"/>
        <w:kinsoku/>
        <w:wordWrap/>
        <w:overflowPunct/>
        <w:topLinePunct w:val="0"/>
        <w:autoSpaceDE/>
        <w:autoSpaceDN/>
        <w:bidi w:val="0"/>
        <w:adjustRightInd/>
        <w:snapToGrid/>
        <w:spacing w:line="324" w:lineRule="auto"/>
        <w:ind w:firstLine="480" w:firstLineChars="200"/>
        <w:textAlignment w:val="auto"/>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按照“村初验、镇复核、县抽检”的方式组织竣工验收，各村初验完成后上报镇领导小组，镇领导小组组织进行复核，按照改厕项目台账逐村逐户进行验收，拍摄保存改厕项目前中后照片作为验收资料。</w:t>
      </w:r>
    </w:p>
    <w:p>
      <w:pPr>
        <w:spacing w:line="600" w:lineRule="exact"/>
        <w:ind w:firstLine="0" w:firstLineChars="0"/>
        <w:rPr>
          <w:rFonts w:hint="eastAsia" w:ascii="Times New Roman" w:hAnsi="Times New Roman" w:eastAsia="仿宋"/>
          <w:b/>
          <w:bCs/>
          <w:color w:val="000000"/>
          <w:sz w:val="24"/>
          <w:szCs w:val="24"/>
        </w:rPr>
      </w:pPr>
    </w:p>
    <w:p>
      <w:pPr>
        <w:spacing w:line="600" w:lineRule="exact"/>
        <w:ind w:firstLine="0" w:firstLineChars="0"/>
        <w:rPr>
          <w:rFonts w:hint="eastAsia" w:ascii="Times New Roman" w:hAnsi="Times New Roman" w:eastAsia="仿宋"/>
          <w:b/>
          <w:bCs/>
          <w:color w:val="000000"/>
          <w:sz w:val="24"/>
          <w:szCs w:val="24"/>
        </w:rPr>
      </w:pPr>
    </w:p>
    <w:p>
      <w:pPr>
        <w:spacing w:line="600" w:lineRule="exact"/>
        <w:ind w:firstLine="3132" w:firstLineChars="1300"/>
        <w:rPr>
          <w:rFonts w:ascii="Times New Roman" w:hAnsi="Times New Roman" w:eastAsia="仿宋"/>
          <w:b/>
          <w:bCs/>
          <w:color w:val="000000"/>
          <w:sz w:val="24"/>
          <w:szCs w:val="24"/>
        </w:rPr>
      </w:pPr>
      <w:r>
        <w:rPr>
          <w:rFonts w:hint="eastAsia" w:ascii="Times New Roman" w:hAnsi="Times New Roman" w:eastAsia="仿宋"/>
          <w:b/>
          <w:bCs/>
          <w:color w:val="000000"/>
          <w:sz w:val="24"/>
          <w:szCs w:val="24"/>
        </w:rPr>
        <w:t>第</w:t>
      </w:r>
      <w:r>
        <w:rPr>
          <w:rFonts w:hint="eastAsia" w:ascii="Times New Roman" w:hAnsi="Times New Roman" w:eastAsia="仿宋"/>
          <w:b/>
          <w:bCs/>
          <w:color w:val="000000"/>
          <w:sz w:val="24"/>
          <w:szCs w:val="24"/>
          <w:lang w:val="en-US" w:eastAsia="zh-CN"/>
        </w:rPr>
        <w:t>五</w:t>
      </w:r>
      <w:r>
        <w:rPr>
          <w:rFonts w:hint="eastAsia" w:ascii="Times New Roman" w:hAnsi="Times New Roman" w:eastAsia="仿宋"/>
          <w:b/>
          <w:bCs/>
          <w:color w:val="000000"/>
          <w:sz w:val="24"/>
          <w:szCs w:val="24"/>
        </w:rPr>
        <w:t>章</w:t>
      </w:r>
      <w:r>
        <w:rPr>
          <w:rFonts w:ascii="Times New Roman" w:hAnsi="Times New Roman" w:eastAsia="仿宋"/>
          <w:b/>
          <w:bCs/>
          <w:color w:val="000000"/>
          <w:sz w:val="24"/>
          <w:szCs w:val="24"/>
        </w:rPr>
        <w:t xml:space="preserve"> </w:t>
      </w:r>
      <w:r>
        <w:rPr>
          <w:rFonts w:hint="eastAsia" w:ascii="Times New Roman" w:hAnsi="Times New Roman" w:eastAsia="仿宋"/>
          <w:b/>
          <w:bCs/>
          <w:color w:val="000000"/>
          <w:sz w:val="24"/>
          <w:szCs w:val="24"/>
        </w:rPr>
        <w:t>保障措施</w:t>
      </w:r>
      <w:bookmarkEnd w:id="15"/>
    </w:p>
    <w:p>
      <w:pPr>
        <w:pStyle w:val="5"/>
        <w:spacing w:line="600" w:lineRule="exact"/>
        <w:rPr>
          <w:rFonts w:ascii="Times New Roman" w:hAnsi="Times New Roman" w:eastAsia="仿宋"/>
          <w:sz w:val="24"/>
          <w:szCs w:val="24"/>
        </w:rPr>
      </w:pPr>
      <w:bookmarkStart w:id="16" w:name="_Toc3884568"/>
      <w:r>
        <w:rPr>
          <w:rFonts w:hint="eastAsia" w:ascii="Times New Roman" w:hAnsi="Times New Roman" w:eastAsia="仿宋"/>
          <w:sz w:val="24"/>
          <w:szCs w:val="24"/>
        </w:rPr>
        <w:t>一、加强组织领导</w:t>
      </w:r>
      <w:bookmarkEnd w:id="16"/>
    </w:p>
    <w:p>
      <w:pPr>
        <w:spacing w:line="600" w:lineRule="exact"/>
        <w:ind w:left="-3" w:leftChars="-1" w:firstLine="560"/>
        <w:rPr>
          <w:rFonts w:ascii="Times New Roman" w:hAnsi="Times New Roman" w:eastAsia="仿宋"/>
          <w:sz w:val="24"/>
          <w:szCs w:val="24"/>
        </w:rPr>
      </w:pPr>
      <w:r>
        <w:rPr>
          <w:rFonts w:hint="eastAsia" w:ascii="Times New Roman" w:hAnsi="Times New Roman" w:eastAsia="仿宋"/>
          <w:sz w:val="24"/>
          <w:szCs w:val="24"/>
          <w:lang w:val="en-US" w:eastAsia="zh-CN"/>
        </w:rPr>
        <w:t>市</w:t>
      </w:r>
      <w:r>
        <w:rPr>
          <w:rFonts w:hint="eastAsia" w:ascii="Times New Roman" w:hAnsi="Times New Roman" w:eastAsia="仿宋"/>
          <w:sz w:val="24"/>
          <w:szCs w:val="24"/>
        </w:rPr>
        <w:t>委、</w:t>
      </w:r>
      <w:r>
        <w:rPr>
          <w:rFonts w:hint="eastAsia" w:ascii="Times New Roman" w:hAnsi="Times New Roman" w:eastAsia="仿宋"/>
          <w:sz w:val="24"/>
          <w:szCs w:val="24"/>
          <w:lang w:val="en-US" w:eastAsia="zh-CN"/>
        </w:rPr>
        <w:t>市</w:t>
      </w:r>
      <w:r>
        <w:rPr>
          <w:rFonts w:hint="eastAsia" w:ascii="Times New Roman" w:hAnsi="Times New Roman" w:eastAsia="仿宋"/>
          <w:sz w:val="24"/>
          <w:szCs w:val="24"/>
        </w:rPr>
        <w:t>政府对全县农村人居环境整治工作负总责，将农村人居环境整治作为实施乡村振兴战略的重要任务，建立健全领导机制，实行河长制，提供组织和政策保障，县直有关部门要根据本方案要求，密切协作配合，形成工作合力。各镇（乡）党委、政府和县直园区党工委、管委会要落实主体责任，落实相应机构、人员，组织统筹开展乡村振兴及农村人居环境整治，做好综合协调、项目落地、资金筹措、推进实施、督促检查等工作，层层落实工作责任，鼓励支持由平台公司组织开展投资建设工作，并将农村人居环境整治工作开展情况作为干部选拔任用和评优评先的重要依据。完善充实乡村建设管理机构和人员，加强乡村保洁员队伍建设，探索整合乡村绿化管护、道路养护、河道管护、环保监督等职责，实行</w:t>
      </w:r>
      <w:r>
        <w:rPr>
          <w:rFonts w:ascii="Times New Roman" w:hAnsi="Times New Roman" w:eastAsia="仿宋"/>
          <w:sz w:val="24"/>
          <w:szCs w:val="24"/>
        </w:rPr>
        <w:t>“</w:t>
      </w:r>
      <w:r>
        <w:rPr>
          <w:rFonts w:hint="eastAsia" w:ascii="Times New Roman" w:hAnsi="Times New Roman" w:eastAsia="仿宋"/>
          <w:sz w:val="24"/>
          <w:szCs w:val="24"/>
        </w:rPr>
        <w:t>多员合一</w:t>
      </w:r>
      <w:r>
        <w:rPr>
          <w:rFonts w:ascii="Times New Roman" w:hAnsi="Times New Roman" w:eastAsia="仿宋"/>
          <w:sz w:val="24"/>
          <w:szCs w:val="24"/>
        </w:rPr>
        <w:t>”</w:t>
      </w:r>
      <w:r>
        <w:rPr>
          <w:rFonts w:hint="eastAsia" w:ascii="Times New Roman" w:hAnsi="Times New Roman" w:eastAsia="仿宋"/>
          <w:sz w:val="24"/>
          <w:szCs w:val="24"/>
        </w:rPr>
        <w:t>，整合管护资金，提高工作待遇。要强化宣传引导，营造浓厚氛围，各级宣传、精神文明建设部门要充分发挥报刊、广播、电视、网络等主流媒体作用，以群众喜闻乐见的形式，持续开展丰富多彩、生动活泼的宣传教育活动，总结宣传先进典型，大力推广经验做法，持续加强舆论造势，广泛争取各方支持，不断提高农村人居环境整治工作的知晓率、支持率、参与率和满意率。</w:t>
      </w:r>
    </w:p>
    <w:p>
      <w:pPr>
        <w:pStyle w:val="5"/>
        <w:spacing w:line="600" w:lineRule="exact"/>
        <w:rPr>
          <w:rFonts w:ascii="Times New Roman" w:hAnsi="Times New Roman" w:eastAsia="仿宋"/>
          <w:sz w:val="24"/>
          <w:szCs w:val="24"/>
        </w:rPr>
      </w:pPr>
      <w:bookmarkStart w:id="17" w:name="_Toc3884569"/>
      <w:r>
        <w:rPr>
          <w:rFonts w:hint="eastAsia" w:ascii="Times New Roman" w:hAnsi="Times New Roman" w:eastAsia="仿宋"/>
          <w:sz w:val="24"/>
          <w:szCs w:val="24"/>
        </w:rPr>
        <w:t>二、落实资金保障</w:t>
      </w:r>
      <w:bookmarkEnd w:id="17"/>
    </w:p>
    <w:p>
      <w:pPr>
        <w:spacing w:line="600" w:lineRule="exact"/>
        <w:ind w:firstLine="560"/>
        <w:rPr>
          <w:rFonts w:ascii="Times New Roman" w:hAnsi="Times New Roman" w:eastAsia="仿宋"/>
          <w:sz w:val="24"/>
          <w:szCs w:val="24"/>
        </w:rPr>
      </w:pPr>
      <w:r>
        <w:rPr>
          <w:rFonts w:hint="eastAsia" w:ascii="Times New Roman" w:hAnsi="Times New Roman" w:eastAsia="仿宋"/>
          <w:sz w:val="24"/>
          <w:szCs w:val="24"/>
        </w:rPr>
        <w:t>乡村振兴办要统筹幸福美丽新村建设、水污染防治等相关渠道资金，加大投入力度，重点保障农村生活污水、生活垃圾、</w:t>
      </w:r>
      <w:r>
        <w:rPr>
          <w:rFonts w:ascii="Times New Roman" w:hAnsi="Times New Roman" w:eastAsia="仿宋"/>
          <w:sz w:val="24"/>
          <w:szCs w:val="24"/>
        </w:rPr>
        <w:t>“</w:t>
      </w:r>
      <w:r>
        <w:rPr>
          <w:rFonts w:hint="eastAsia" w:ascii="Times New Roman" w:hAnsi="Times New Roman" w:eastAsia="仿宋"/>
          <w:sz w:val="24"/>
          <w:szCs w:val="24"/>
        </w:rPr>
        <w:t>厕所革命</w:t>
      </w:r>
      <w:r>
        <w:rPr>
          <w:rFonts w:ascii="Times New Roman" w:hAnsi="Times New Roman" w:eastAsia="仿宋"/>
          <w:sz w:val="24"/>
          <w:szCs w:val="24"/>
        </w:rPr>
        <w:t>”</w:t>
      </w:r>
      <w:r>
        <w:rPr>
          <w:rFonts w:hint="eastAsia" w:ascii="Times New Roman" w:hAnsi="Times New Roman" w:eastAsia="仿宋"/>
          <w:sz w:val="24"/>
          <w:szCs w:val="24"/>
        </w:rPr>
        <w:t>等项目建设和运行。城乡建设用地增减挂钩所获土地增值收益，按相关规定用于支持农业农村发展和改善农民生活条件。村庄整治增加耕地获得的占补平衡指标收益，通过支出预算统筹安排支持当地农村人居环境整治。发挥开发性、政策性金融作用，用好抵押补充贷款、用好国家开发银行、中国农业发展银行等金融机构金融资金支持。积极引导社会资本参与农村人居环境整治项目，推动专业化、市场化建设和运行管护。</w:t>
      </w:r>
    </w:p>
    <w:p>
      <w:pPr>
        <w:pStyle w:val="5"/>
        <w:spacing w:line="600" w:lineRule="exact"/>
        <w:rPr>
          <w:rFonts w:ascii="Times New Roman" w:hAnsi="Times New Roman" w:eastAsia="仿宋"/>
          <w:sz w:val="24"/>
          <w:szCs w:val="24"/>
        </w:rPr>
      </w:pPr>
      <w:bookmarkStart w:id="18" w:name="_Toc3884570"/>
      <w:r>
        <w:rPr>
          <w:rFonts w:hint="eastAsia" w:ascii="Times New Roman" w:hAnsi="Times New Roman" w:eastAsia="仿宋"/>
          <w:sz w:val="24"/>
          <w:szCs w:val="24"/>
        </w:rPr>
        <w:t>三、强化技术和人才支撑</w:t>
      </w:r>
      <w:bookmarkEnd w:id="18"/>
    </w:p>
    <w:p>
      <w:pPr>
        <w:spacing w:line="600" w:lineRule="exact"/>
        <w:ind w:firstLine="560"/>
        <w:rPr>
          <w:rFonts w:ascii="Times New Roman" w:hAnsi="Times New Roman" w:eastAsia="仿宋"/>
          <w:sz w:val="24"/>
          <w:szCs w:val="24"/>
        </w:rPr>
      </w:pPr>
      <w:r>
        <w:rPr>
          <w:rFonts w:hint="eastAsia" w:ascii="Times New Roman" w:hAnsi="Times New Roman" w:eastAsia="仿宋"/>
          <w:sz w:val="24"/>
          <w:szCs w:val="24"/>
        </w:rPr>
        <w:t>按照地形、人文、旅游、生态不同类别，科学确定不同种类村庄整治标准和建设内容，分级分类制定农村生活垃圾污水处理设施建设和运行维护技术指南，不断健全技术标准体系。组织高等学校、科研院所、企业开展农村人居环境整治关键技术、工艺和装备研发。建立农村人居环境整治专家库，鼓励规划师、建筑师等专业人才下乡，选派各类专业技术人员驻村指导，组织开展企业与县、乡、村对接农村环保实用技术和装备需求。进一步健全镇（乡）规划建设管理队伍，加强项目建设和运行管理人员技术培训。</w:t>
      </w:r>
    </w:p>
    <w:p>
      <w:pPr>
        <w:pStyle w:val="5"/>
        <w:spacing w:line="600" w:lineRule="exact"/>
        <w:rPr>
          <w:rFonts w:ascii="Times New Roman" w:hAnsi="Times New Roman" w:eastAsia="仿宋"/>
          <w:sz w:val="24"/>
          <w:szCs w:val="24"/>
        </w:rPr>
      </w:pPr>
      <w:bookmarkStart w:id="19" w:name="_Toc3884571"/>
      <w:r>
        <w:rPr>
          <w:rFonts w:hint="eastAsia" w:ascii="Times New Roman" w:hAnsi="Times New Roman" w:eastAsia="仿宋"/>
          <w:sz w:val="24"/>
          <w:szCs w:val="24"/>
        </w:rPr>
        <w:t>四、发挥村民主体作用</w:t>
      </w:r>
      <w:bookmarkEnd w:id="19"/>
    </w:p>
    <w:p>
      <w:pPr>
        <w:spacing w:line="600" w:lineRule="exact"/>
        <w:ind w:firstLine="560"/>
        <w:rPr>
          <w:rFonts w:ascii="Times New Roman" w:hAnsi="Times New Roman" w:eastAsia="仿宋"/>
          <w:sz w:val="24"/>
          <w:szCs w:val="24"/>
        </w:rPr>
      </w:pPr>
      <w:r>
        <w:rPr>
          <w:rFonts w:hint="eastAsia" w:ascii="Times New Roman" w:hAnsi="Times New Roman" w:eastAsia="仿宋"/>
          <w:sz w:val="24"/>
          <w:szCs w:val="24"/>
        </w:rPr>
        <w:t>调动村民积极性、主动性，充分运用</w:t>
      </w:r>
      <w:r>
        <w:rPr>
          <w:rFonts w:ascii="Times New Roman" w:hAnsi="Times New Roman" w:eastAsia="仿宋"/>
          <w:sz w:val="24"/>
          <w:szCs w:val="24"/>
        </w:rPr>
        <w:t>“</w:t>
      </w:r>
      <w:r>
        <w:rPr>
          <w:rFonts w:hint="eastAsia" w:ascii="Times New Roman" w:hAnsi="Times New Roman" w:eastAsia="仿宋"/>
          <w:sz w:val="24"/>
          <w:szCs w:val="24"/>
        </w:rPr>
        <w:t>一事一议</w:t>
      </w:r>
      <w:r>
        <w:rPr>
          <w:rFonts w:ascii="Times New Roman" w:hAnsi="Times New Roman" w:eastAsia="仿宋"/>
          <w:sz w:val="24"/>
          <w:szCs w:val="24"/>
        </w:rPr>
        <w:t>”</w:t>
      </w:r>
      <w:r>
        <w:rPr>
          <w:rFonts w:hint="eastAsia" w:ascii="Times New Roman" w:hAnsi="Times New Roman" w:eastAsia="仿宋"/>
          <w:sz w:val="24"/>
          <w:szCs w:val="24"/>
        </w:rPr>
        <w:t>民主决策机制，鼓励村民和村集体经济组织全程参与农村人居环境整治项目规划、建设、管理和监督，将农村环境卫生、古树名木保护等要求纳入村规民约，引导规范村民自治；探索建立农村人居环境设施共建、经费共担、环境共管机制，鼓励村民投工、投劳、投资，主动参与改善农村人居环境，村内公共空间整治主要通过村民投工投劳解决；鼓励农村集体经济组织通过依法盘活集体经营性用地、空闲农房及宅基地等途径，多渠道筹措资金。</w:t>
      </w:r>
    </w:p>
    <w:p>
      <w:pPr>
        <w:pStyle w:val="5"/>
        <w:spacing w:line="600" w:lineRule="exact"/>
        <w:rPr>
          <w:rFonts w:ascii="Times New Roman" w:hAnsi="Times New Roman" w:eastAsia="仿宋"/>
          <w:sz w:val="24"/>
          <w:szCs w:val="24"/>
        </w:rPr>
      </w:pPr>
      <w:bookmarkStart w:id="20" w:name="_Toc3884572"/>
      <w:r>
        <w:rPr>
          <w:rFonts w:hint="eastAsia" w:ascii="Times New Roman" w:hAnsi="Times New Roman" w:eastAsia="仿宋"/>
          <w:sz w:val="24"/>
          <w:szCs w:val="24"/>
        </w:rPr>
        <w:t>五、加强督导考核验收</w:t>
      </w:r>
      <w:bookmarkEnd w:id="20"/>
    </w:p>
    <w:p>
      <w:pPr>
        <w:spacing w:line="600" w:lineRule="exact"/>
        <w:ind w:firstLine="560"/>
        <w:rPr>
          <w:rFonts w:ascii="Times New Roman" w:hAnsi="Times New Roman" w:eastAsia="仿宋"/>
          <w:sz w:val="24"/>
          <w:szCs w:val="24"/>
        </w:rPr>
      </w:pPr>
      <w:r>
        <w:rPr>
          <w:rFonts w:hint="eastAsia" w:ascii="Times New Roman" w:hAnsi="Times New Roman" w:eastAsia="仿宋"/>
          <w:sz w:val="24"/>
          <w:szCs w:val="24"/>
        </w:rPr>
        <w:t>将农村人居环境整治工作纳入政府目标绩效考核范围，建立日常督导、季度通报、年度考核、达标验收相结合的考评激励机制，相关资金支持、项目安排优先向工作成效突出的镇（乡）、街道倾斜，对排名靠后的进行通报约谈。区级有关部门要结合职能职责制定相关工作导则和技术标准，对镇（乡）、街道工作加强指导。要加大督导力度，确保农村人居环境整治各项任务全面完成。</w:t>
      </w:r>
    </w:p>
    <w:p>
      <w:pPr>
        <w:pStyle w:val="5"/>
        <w:spacing w:line="600" w:lineRule="exact"/>
        <w:rPr>
          <w:rFonts w:ascii="Times New Roman" w:hAnsi="Times New Roman" w:eastAsia="仿宋"/>
          <w:sz w:val="24"/>
          <w:szCs w:val="24"/>
        </w:rPr>
      </w:pPr>
      <w:bookmarkStart w:id="21" w:name="_Toc3884573"/>
      <w:r>
        <w:rPr>
          <w:rFonts w:hint="eastAsia" w:ascii="Times New Roman" w:hAnsi="Times New Roman" w:eastAsia="仿宋"/>
          <w:sz w:val="24"/>
          <w:szCs w:val="24"/>
        </w:rPr>
        <w:t>六、严格治理标准和法治保障</w:t>
      </w:r>
      <w:bookmarkEnd w:id="21"/>
    </w:p>
    <w:p>
      <w:pPr>
        <w:spacing w:line="600" w:lineRule="exact"/>
        <w:ind w:firstLine="560"/>
        <w:rPr>
          <w:rFonts w:ascii="Times New Roman" w:hAnsi="Times New Roman" w:eastAsia="仿宋"/>
          <w:sz w:val="24"/>
          <w:szCs w:val="24"/>
        </w:rPr>
      </w:pPr>
      <w:r>
        <w:rPr>
          <w:rFonts w:hint="eastAsia" w:ascii="Times New Roman" w:hAnsi="Times New Roman" w:eastAsia="仿宋"/>
          <w:sz w:val="24"/>
          <w:szCs w:val="24"/>
        </w:rPr>
        <w:t>严格执行省、市制定的农村生活垃圾污水治理技术、施工建设、运行维护等标准规范。贯彻执行《四川省城乡环境综合治理条例》和《四川省农村住房建设管理办法》。</w:t>
      </w:r>
    </w:p>
    <w:p>
      <w:pPr>
        <w:pStyle w:val="5"/>
        <w:spacing w:line="520" w:lineRule="exact"/>
        <w:rPr>
          <w:rFonts w:ascii="Times New Roman" w:hAnsi="Times New Roman" w:eastAsia="仿宋"/>
          <w:sz w:val="24"/>
          <w:szCs w:val="24"/>
        </w:rPr>
      </w:pPr>
      <w:bookmarkStart w:id="22" w:name="_Toc3884574"/>
      <w:r>
        <w:rPr>
          <w:rFonts w:hint="eastAsia" w:ascii="Times New Roman" w:hAnsi="Times New Roman" w:eastAsia="仿宋"/>
          <w:sz w:val="24"/>
          <w:szCs w:val="24"/>
        </w:rPr>
        <w:t>七、加强宣传推广</w:t>
      </w:r>
      <w:bookmarkEnd w:id="22"/>
    </w:p>
    <w:p>
      <w:pPr>
        <w:spacing w:line="520" w:lineRule="exact"/>
        <w:ind w:firstLine="560"/>
        <w:rPr>
          <w:rFonts w:hint="eastAsia" w:ascii="Times New Roman" w:hAnsi="Times New Roman" w:eastAsia="仿宋"/>
          <w:sz w:val="24"/>
          <w:szCs w:val="24"/>
        </w:rPr>
      </w:pPr>
      <w:r>
        <w:rPr>
          <w:rFonts w:hint="eastAsia" w:ascii="Times New Roman" w:hAnsi="Times New Roman" w:eastAsia="仿宋"/>
          <w:sz w:val="24"/>
          <w:szCs w:val="24"/>
        </w:rPr>
        <w:t>采取现场会、经验交流会等方式，大力宣传农村人居环境整治典型，不断放大示范效应。充分利用电视、报刊、网络等宣传载体，加强政策解读，宣传推广好典型、好经验、好做法，努力营造全社会关心支持农村人居环境整治的良好氛围。</w:t>
      </w:r>
    </w:p>
    <w:p>
      <w:pPr>
        <w:pStyle w:val="4"/>
        <w:spacing w:line="600" w:lineRule="exact"/>
        <w:ind w:firstLine="0" w:firstLineChars="0"/>
        <w:jc w:val="center"/>
        <w:rPr>
          <w:rFonts w:hint="eastAsia"/>
          <w:b/>
          <w:sz w:val="24"/>
          <w:szCs w:val="24"/>
        </w:rPr>
      </w:pPr>
      <w:r>
        <w:rPr>
          <w:rFonts w:hint="eastAsia" w:ascii="Times New Roman" w:hAnsi="Times New Roman" w:eastAsia="仿宋"/>
          <w:b/>
          <w:bCs/>
          <w:color w:val="000000"/>
          <w:sz w:val="24"/>
          <w:szCs w:val="24"/>
        </w:rPr>
        <w:t>第</w:t>
      </w:r>
      <w:r>
        <w:rPr>
          <w:rFonts w:hint="eastAsia" w:ascii="Times New Roman" w:hAnsi="Times New Roman" w:eastAsia="仿宋"/>
          <w:b/>
          <w:bCs/>
          <w:color w:val="000000"/>
          <w:sz w:val="24"/>
          <w:szCs w:val="24"/>
          <w:lang w:val="en-US" w:eastAsia="zh-CN"/>
        </w:rPr>
        <w:t>六</w:t>
      </w:r>
      <w:r>
        <w:rPr>
          <w:rFonts w:hint="eastAsia" w:ascii="Times New Roman" w:hAnsi="Times New Roman" w:eastAsia="仿宋"/>
          <w:b/>
          <w:bCs/>
          <w:color w:val="000000"/>
          <w:sz w:val="24"/>
          <w:szCs w:val="24"/>
        </w:rPr>
        <w:t>章</w:t>
      </w:r>
      <w:r>
        <w:rPr>
          <w:rFonts w:ascii="Times New Roman" w:hAnsi="Times New Roman" w:eastAsia="仿宋"/>
          <w:b/>
          <w:bCs/>
          <w:color w:val="000000"/>
          <w:sz w:val="24"/>
          <w:szCs w:val="24"/>
        </w:rPr>
        <w:t xml:space="preserve"> </w:t>
      </w:r>
      <w:r>
        <w:rPr>
          <w:rFonts w:hint="eastAsia" w:ascii="Times New Roman" w:hAnsi="Times New Roman" w:eastAsia="仿宋"/>
          <w:b/>
          <w:bCs/>
          <w:color w:val="000000"/>
          <w:sz w:val="24"/>
          <w:szCs w:val="24"/>
          <w:lang w:val="en-US" w:eastAsia="zh-CN"/>
        </w:rPr>
        <w:t>技术</w:t>
      </w:r>
      <w:r>
        <w:rPr>
          <w:rFonts w:hint="eastAsia" w:ascii="Times New Roman" w:hAnsi="Times New Roman" w:eastAsia="仿宋"/>
          <w:b/>
          <w:bCs/>
          <w:color w:val="000000"/>
          <w:sz w:val="24"/>
          <w:szCs w:val="24"/>
        </w:rPr>
        <w:t>措施</w:t>
      </w:r>
    </w:p>
    <w:p>
      <w:pPr>
        <w:spacing w:line="360" w:lineRule="auto"/>
        <w:jc w:val="center"/>
        <w:rPr>
          <w:rFonts w:ascii="Times New Roman" w:hAnsi="Times New Roman" w:eastAsia="仿宋"/>
          <w:b w:val="0"/>
          <w:bCs/>
          <w:color w:val="000000"/>
          <w:sz w:val="24"/>
          <w:szCs w:val="24"/>
        </w:rPr>
      </w:pPr>
      <w:r>
        <w:rPr>
          <w:rFonts w:hint="eastAsia"/>
          <w:b w:val="0"/>
          <w:bCs/>
          <w:sz w:val="24"/>
          <w:szCs w:val="24"/>
        </w:rPr>
        <w:t>2019年射洪市人居环境整治改厕</w:t>
      </w:r>
      <w:r>
        <w:rPr>
          <w:b w:val="0"/>
          <w:bCs/>
          <w:sz w:val="24"/>
          <w:szCs w:val="24"/>
        </w:rPr>
        <w:t>工程设计说明</w:t>
      </w:r>
    </w:p>
    <w:p>
      <w:pPr>
        <w:spacing w:line="360" w:lineRule="auto"/>
        <w:ind w:firstLine="480" w:firstLineChars="200"/>
        <w:outlineLvl w:val="0"/>
        <w:rPr>
          <w:b w:val="0"/>
          <w:bCs/>
          <w:sz w:val="24"/>
          <w:szCs w:val="24"/>
        </w:rPr>
      </w:pPr>
      <w:r>
        <w:rPr>
          <w:b w:val="0"/>
          <w:bCs/>
          <w:sz w:val="24"/>
          <w:szCs w:val="24"/>
        </w:rPr>
        <w:t>一、项目概况</w:t>
      </w:r>
    </w:p>
    <w:p>
      <w:pPr>
        <w:pStyle w:val="66"/>
        <w:snapToGrid w:val="0"/>
        <w:spacing w:line="360" w:lineRule="auto"/>
        <w:ind w:firstLine="480" w:firstLineChars="200"/>
        <w:jc w:val="both"/>
        <w:rPr>
          <w:rFonts w:hint="eastAsia" w:ascii="Times New Roman" w:eastAsia="宋体" w:cs="Times New Roman"/>
          <w:b w:val="0"/>
          <w:bCs/>
          <w:color w:val="auto"/>
          <w:kern w:val="2"/>
          <w:sz w:val="24"/>
          <w:szCs w:val="24"/>
        </w:rPr>
      </w:pPr>
      <w:r>
        <w:rPr>
          <w:rFonts w:hint="eastAsia" w:ascii="Times New Roman" w:eastAsia="宋体" w:cs="Times New Roman"/>
          <w:b w:val="0"/>
          <w:bCs/>
          <w:color w:val="auto"/>
          <w:kern w:val="2"/>
          <w:sz w:val="24"/>
          <w:szCs w:val="24"/>
        </w:rPr>
        <w:t>本项目</w:t>
      </w:r>
      <w:r>
        <w:rPr>
          <w:rFonts w:ascii="Times New Roman" w:eastAsia="宋体" w:cs="Times New Roman"/>
          <w:b w:val="0"/>
          <w:bCs/>
          <w:color w:val="auto"/>
          <w:kern w:val="2"/>
          <w:sz w:val="24"/>
          <w:szCs w:val="24"/>
        </w:rPr>
        <w:t>为</w:t>
      </w:r>
      <w:r>
        <w:rPr>
          <w:rFonts w:hint="eastAsia" w:ascii="Times New Roman" w:eastAsia="宋体" w:cs="Times New Roman"/>
          <w:b w:val="0"/>
          <w:bCs/>
          <w:color w:val="auto"/>
          <w:kern w:val="2"/>
          <w:sz w:val="24"/>
          <w:szCs w:val="24"/>
        </w:rPr>
        <w:t>2019年射洪市人居环境整治改厕</w:t>
      </w:r>
      <w:r>
        <w:rPr>
          <w:rFonts w:ascii="Times New Roman" w:eastAsia="宋体" w:cs="Times New Roman"/>
          <w:b w:val="0"/>
          <w:bCs/>
          <w:color w:val="auto"/>
          <w:kern w:val="2"/>
          <w:sz w:val="24"/>
          <w:szCs w:val="24"/>
        </w:rPr>
        <w:t>。</w:t>
      </w:r>
    </w:p>
    <w:p>
      <w:pPr>
        <w:spacing w:line="360" w:lineRule="auto"/>
        <w:ind w:firstLine="480" w:firstLineChars="200"/>
        <w:outlineLvl w:val="0"/>
        <w:rPr>
          <w:rFonts w:hint="eastAsia"/>
          <w:b w:val="0"/>
          <w:bCs/>
          <w:sz w:val="24"/>
          <w:szCs w:val="24"/>
        </w:rPr>
      </w:pPr>
      <w:r>
        <w:rPr>
          <w:rFonts w:hint="eastAsia"/>
          <w:b w:val="0"/>
          <w:bCs/>
          <w:sz w:val="24"/>
          <w:szCs w:val="24"/>
        </w:rPr>
        <w:t>二、</w:t>
      </w:r>
      <w:r>
        <w:rPr>
          <w:b w:val="0"/>
          <w:bCs/>
          <w:sz w:val="24"/>
          <w:szCs w:val="24"/>
        </w:rPr>
        <w:t>现状</w:t>
      </w:r>
    </w:p>
    <w:p>
      <w:pPr>
        <w:pStyle w:val="66"/>
        <w:snapToGrid w:val="0"/>
        <w:spacing w:line="360" w:lineRule="auto"/>
        <w:ind w:firstLine="480" w:firstLineChars="200"/>
        <w:jc w:val="both"/>
        <w:rPr>
          <w:rFonts w:hint="eastAsia" w:ascii="Times New Roman" w:eastAsia="宋体" w:cs="Times New Roman"/>
          <w:color w:val="auto"/>
          <w:kern w:val="2"/>
          <w:sz w:val="24"/>
          <w:szCs w:val="24"/>
        </w:rPr>
      </w:pPr>
      <w:r>
        <w:rPr>
          <w:rFonts w:hint="eastAsia" w:ascii="Times New Roman" w:eastAsia="宋体" w:cs="Times New Roman"/>
          <w:color w:val="auto"/>
          <w:kern w:val="2"/>
          <w:sz w:val="24"/>
          <w:szCs w:val="24"/>
        </w:rPr>
        <w:t>1.现状</w:t>
      </w:r>
    </w:p>
    <w:p>
      <w:pPr>
        <w:pStyle w:val="66"/>
        <w:snapToGrid w:val="0"/>
        <w:spacing w:line="360" w:lineRule="auto"/>
        <w:ind w:firstLine="480" w:firstLineChars="200"/>
        <w:jc w:val="both"/>
        <w:rPr>
          <w:rFonts w:hint="eastAsia" w:ascii="Times New Roman" w:eastAsia="宋体" w:cs="Times New Roman"/>
          <w:color w:val="auto"/>
          <w:kern w:val="2"/>
          <w:sz w:val="24"/>
          <w:szCs w:val="24"/>
        </w:rPr>
      </w:pPr>
      <w:r>
        <w:rPr>
          <w:rFonts w:hint="eastAsia" w:ascii="Times New Roman" w:eastAsia="宋体" w:cs="Times New Roman"/>
          <w:color w:val="auto"/>
          <w:kern w:val="2"/>
          <w:sz w:val="24"/>
          <w:szCs w:val="24"/>
        </w:rPr>
        <w:t>本项目无现状污水管道</w:t>
      </w:r>
      <w:r>
        <w:rPr>
          <w:rFonts w:hint="eastAsia" w:ascii="Times New Roman" w:eastAsia="宋体" w:cs="Times New Roman"/>
          <w:color w:val="auto"/>
          <w:kern w:val="2"/>
          <w:sz w:val="24"/>
          <w:szCs w:val="24"/>
          <w:lang w:val="en-US" w:eastAsia="zh-CN"/>
        </w:rPr>
        <w:t>及标准污水处理设施</w:t>
      </w:r>
      <w:r>
        <w:rPr>
          <w:rFonts w:hint="eastAsia" w:ascii="Times New Roman" w:eastAsia="宋体" w:cs="Times New Roman"/>
          <w:color w:val="auto"/>
          <w:kern w:val="2"/>
          <w:sz w:val="24"/>
          <w:szCs w:val="24"/>
        </w:rPr>
        <w:t>。</w:t>
      </w:r>
    </w:p>
    <w:p>
      <w:pPr>
        <w:spacing w:line="360" w:lineRule="auto"/>
        <w:ind w:firstLine="481" w:firstLineChars="200"/>
        <w:outlineLvl w:val="0"/>
        <w:rPr>
          <w:rFonts w:hint="eastAsia"/>
          <w:b/>
          <w:sz w:val="24"/>
          <w:szCs w:val="24"/>
        </w:rPr>
      </w:pPr>
      <w:r>
        <w:rPr>
          <w:rFonts w:hint="eastAsia"/>
          <w:b/>
          <w:sz w:val="24"/>
          <w:szCs w:val="24"/>
        </w:rPr>
        <w:t>三、主要设计依据、规范与图集</w:t>
      </w:r>
    </w:p>
    <w:p>
      <w:pPr>
        <w:spacing w:line="360" w:lineRule="auto"/>
        <w:ind w:firstLine="480" w:firstLineChars="200"/>
        <w:outlineLvl w:val="0"/>
        <w:rPr>
          <w:sz w:val="24"/>
          <w:szCs w:val="24"/>
        </w:rPr>
      </w:pPr>
      <w:r>
        <w:rPr>
          <w:sz w:val="24"/>
          <w:szCs w:val="24"/>
        </w:rPr>
        <w:t>1.  设计依据</w:t>
      </w:r>
    </w:p>
    <w:p>
      <w:pPr>
        <w:spacing w:line="360" w:lineRule="auto"/>
        <w:ind w:firstLine="480" w:firstLineChars="200"/>
        <w:rPr>
          <w:sz w:val="24"/>
          <w:szCs w:val="24"/>
        </w:rPr>
      </w:pPr>
      <w:r>
        <w:rPr>
          <w:sz w:val="24"/>
          <w:szCs w:val="24"/>
        </w:rPr>
        <w:t>（1）本项目设计合同。</w:t>
      </w:r>
    </w:p>
    <w:p>
      <w:pPr>
        <w:spacing w:line="360" w:lineRule="auto"/>
        <w:ind w:firstLine="480" w:firstLineChars="200"/>
        <w:rPr>
          <w:sz w:val="24"/>
          <w:szCs w:val="24"/>
        </w:rPr>
      </w:pPr>
      <w:r>
        <w:rPr>
          <w:sz w:val="24"/>
          <w:szCs w:val="24"/>
        </w:rPr>
        <w:t>（2）该片区地形测量图。</w:t>
      </w:r>
    </w:p>
    <w:p>
      <w:pPr>
        <w:spacing w:line="360" w:lineRule="auto"/>
        <w:ind w:firstLine="480" w:firstLineChars="200"/>
        <w:outlineLvl w:val="0"/>
        <w:rPr>
          <w:sz w:val="24"/>
          <w:szCs w:val="24"/>
        </w:rPr>
      </w:pPr>
      <w:r>
        <w:rPr>
          <w:sz w:val="24"/>
          <w:szCs w:val="24"/>
        </w:rPr>
        <w:t>2.  采用的规范、标准</w:t>
      </w:r>
    </w:p>
    <w:p>
      <w:pPr>
        <w:spacing w:line="360" w:lineRule="auto"/>
        <w:ind w:firstLine="480" w:firstLineChars="200"/>
        <w:rPr>
          <w:sz w:val="24"/>
          <w:szCs w:val="24"/>
        </w:rPr>
      </w:pPr>
      <w:r>
        <w:rPr>
          <w:sz w:val="24"/>
          <w:szCs w:val="24"/>
        </w:rPr>
        <w:t>(1)《室外排水设计规范》（GB50014-2006）(2016年版)；</w:t>
      </w:r>
    </w:p>
    <w:p>
      <w:pPr>
        <w:spacing w:line="360" w:lineRule="auto"/>
        <w:ind w:firstLine="480" w:firstLineChars="200"/>
        <w:rPr>
          <w:sz w:val="24"/>
          <w:szCs w:val="24"/>
        </w:rPr>
      </w:pPr>
      <w:r>
        <w:rPr>
          <w:sz w:val="24"/>
          <w:szCs w:val="24"/>
        </w:rPr>
        <w:t>(2)《城市排水工程规划规范》（GB50318-2017）；</w:t>
      </w:r>
    </w:p>
    <w:p>
      <w:pPr>
        <w:spacing w:line="360" w:lineRule="auto"/>
        <w:ind w:firstLine="480" w:firstLineChars="200"/>
        <w:rPr>
          <w:sz w:val="24"/>
          <w:szCs w:val="24"/>
        </w:rPr>
      </w:pPr>
      <w:r>
        <w:rPr>
          <w:sz w:val="24"/>
          <w:szCs w:val="24"/>
        </w:rPr>
        <w:t>(3)《给水排水工程管道结构设计规范》（GB50332-2002）；</w:t>
      </w:r>
    </w:p>
    <w:p>
      <w:pPr>
        <w:spacing w:line="360" w:lineRule="auto"/>
        <w:ind w:firstLine="480" w:firstLineChars="200"/>
        <w:rPr>
          <w:sz w:val="24"/>
          <w:szCs w:val="24"/>
        </w:rPr>
      </w:pPr>
      <w:r>
        <w:rPr>
          <w:sz w:val="24"/>
          <w:szCs w:val="24"/>
        </w:rPr>
        <w:t>(4)《给水排水工程构筑物结构设计规范》（GB50069-2002）；</w:t>
      </w:r>
    </w:p>
    <w:p>
      <w:pPr>
        <w:spacing w:line="360" w:lineRule="auto"/>
        <w:ind w:firstLine="480" w:firstLineChars="200"/>
        <w:rPr>
          <w:sz w:val="24"/>
          <w:szCs w:val="24"/>
        </w:rPr>
      </w:pPr>
      <w:r>
        <w:rPr>
          <w:sz w:val="24"/>
          <w:szCs w:val="24"/>
        </w:rPr>
        <w:t>(5)《给水排水构筑物工程施工及验收规范》（GB50141-2008）；</w:t>
      </w:r>
    </w:p>
    <w:p>
      <w:pPr>
        <w:spacing w:line="360" w:lineRule="auto"/>
        <w:ind w:firstLine="480" w:firstLineChars="200"/>
        <w:rPr>
          <w:sz w:val="24"/>
          <w:szCs w:val="24"/>
        </w:rPr>
      </w:pPr>
      <w:r>
        <w:rPr>
          <w:sz w:val="24"/>
          <w:szCs w:val="24"/>
        </w:rPr>
        <w:t>(6)《砌体结构工程施工质量验收规范》（GB50203-2011）；</w:t>
      </w:r>
    </w:p>
    <w:p>
      <w:pPr>
        <w:spacing w:line="360" w:lineRule="auto"/>
        <w:ind w:firstLine="480" w:firstLineChars="200"/>
        <w:rPr>
          <w:sz w:val="24"/>
          <w:szCs w:val="24"/>
        </w:rPr>
      </w:pPr>
      <w:r>
        <w:rPr>
          <w:sz w:val="24"/>
          <w:szCs w:val="24"/>
        </w:rPr>
        <w:t>(7)《给水排水管道工程施工及验收规范》（GB50268-2008)；</w:t>
      </w:r>
    </w:p>
    <w:p>
      <w:pPr>
        <w:spacing w:line="360" w:lineRule="auto"/>
        <w:ind w:firstLine="480" w:firstLineChars="200"/>
        <w:rPr>
          <w:sz w:val="24"/>
          <w:szCs w:val="24"/>
        </w:rPr>
      </w:pPr>
      <w:r>
        <w:rPr>
          <w:sz w:val="24"/>
          <w:szCs w:val="24"/>
        </w:rPr>
        <w:t>(8)《城市工程管线综合规划规范》(GB50289-2016)；</w:t>
      </w:r>
    </w:p>
    <w:p>
      <w:pPr>
        <w:spacing w:line="360" w:lineRule="auto"/>
        <w:ind w:firstLine="480" w:firstLineChars="200"/>
        <w:rPr>
          <w:rFonts w:ascii="Times New Roman" w:hAnsi="Times New Roman" w:eastAsia="仿宋"/>
          <w:color w:val="000000"/>
          <w:sz w:val="24"/>
          <w:szCs w:val="24"/>
        </w:rPr>
      </w:pPr>
      <w:r>
        <w:rPr>
          <w:sz w:val="24"/>
          <w:szCs w:val="24"/>
        </w:rPr>
        <w:t>(9)《市政 排水管道工程及附属设施》（06MS201）。</w:t>
      </w:r>
    </w:p>
    <w:p>
      <w:pPr>
        <w:spacing w:line="360" w:lineRule="auto"/>
        <w:ind w:firstLine="480" w:firstLineChars="200"/>
        <w:rPr>
          <w:sz w:val="21"/>
          <w:szCs w:val="21"/>
        </w:rPr>
      </w:pPr>
      <w:r>
        <w:rPr>
          <w:sz w:val="24"/>
          <w:szCs w:val="24"/>
        </w:rPr>
        <w:t>(10)《城镇给水排水技术规范》GB5078</w:t>
      </w:r>
      <w:r>
        <w:rPr>
          <w:sz w:val="21"/>
          <w:szCs w:val="21"/>
        </w:rPr>
        <w:t>8-2012；</w:t>
      </w:r>
    </w:p>
    <w:p>
      <w:pPr>
        <w:spacing w:line="360" w:lineRule="auto"/>
        <w:ind w:firstLine="420" w:firstLineChars="200"/>
        <w:rPr>
          <w:sz w:val="21"/>
          <w:szCs w:val="21"/>
        </w:rPr>
      </w:pPr>
      <w:r>
        <w:rPr>
          <w:sz w:val="21"/>
          <w:szCs w:val="21"/>
        </w:rPr>
        <w:t>(11)《室外给水排水和燃气热力工程抗震设计规范》GB50032-2003；</w:t>
      </w:r>
    </w:p>
    <w:p>
      <w:pPr>
        <w:spacing w:line="360" w:lineRule="auto"/>
        <w:ind w:firstLine="420" w:firstLineChars="200"/>
        <w:rPr>
          <w:rFonts w:hint="eastAsia"/>
          <w:sz w:val="21"/>
          <w:szCs w:val="21"/>
        </w:rPr>
      </w:pPr>
      <w:r>
        <w:rPr>
          <w:sz w:val="21"/>
          <w:szCs w:val="21"/>
        </w:rPr>
        <w:t>(12) 《</w:t>
      </w:r>
      <w:r>
        <w:rPr>
          <w:rFonts w:hint="eastAsia"/>
          <w:sz w:val="21"/>
          <w:szCs w:val="21"/>
        </w:rPr>
        <w:t>钢筋混凝土化粪池</w:t>
      </w:r>
      <w:r>
        <w:rPr>
          <w:sz w:val="21"/>
          <w:szCs w:val="21"/>
        </w:rPr>
        <w:t>》</w:t>
      </w:r>
      <w:r>
        <w:rPr>
          <w:rFonts w:hint="eastAsia"/>
          <w:sz w:val="21"/>
          <w:szCs w:val="21"/>
        </w:rPr>
        <w:t>03S702</w:t>
      </w:r>
    </w:p>
    <w:p>
      <w:pPr>
        <w:spacing w:line="360" w:lineRule="auto"/>
        <w:ind w:firstLine="420" w:firstLineChars="200"/>
        <w:rPr>
          <w:sz w:val="21"/>
          <w:szCs w:val="21"/>
        </w:rPr>
      </w:pPr>
      <w:r>
        <w:rPr>
          <w:sz w:val="21"/>
          <w:szCs w:val="21"/>
        </w:rPr>
        <w:t>(13)《工程建设标准强制性条文》（</w:t>
      </w:r>
      <w:r>
        <w:rPr>
          <w:rFonts w:hint="eastAsia"/>
          <w:sz w:val="21"/>
          <w:szCs w:val="21"/>
        </w:rPr>
        <w:t>2013版</w:t>
      </w:r>
      <w:r>
        <w:rPr>
          <w:sz w:val="21"/>
          <w:szCs w:val="21"/>
        </w:rPr>
        <w:t>）；</w:t>
      </w:r>
    </w:p>
    <w:p>
      <w:pPr>
        <w:spacing w:line="360" w:lineRule="auto"/>
        <w:ind w:firstLine="420" w:firstLineChars="200"/>
        <w:rPr>
          <w:sz w:val="21"/>
          <w:szCs w:val="21"/>
        </w:rPr>
      </w:pPr>
      <w:r>
        <w:rPr>
          <w:sz w:val="21"/>
          <w:szCs w:val="21"/>
        </w:rPr>
        <w:t>(14)建设部及交通部颁布现行的有关“规范”、“标准”、“规程”；</w:t>
      </w:r>
    </w:p>
    <w:p>
      <w:pPr>
        <w:spacing w:line="360" w:lineRule="auto"/>
        <w:ind w:firstLine="421" w:firstLineChars="200"/>
        <w:outlineLvl w:val="0"/>
        <w:rPr>
          <w:rFonts w:hint="eastAsia"/>
          <w:b/>
          <w:sz w:val="21"/>
          <w:szCs w:val="21"/>
        </w:rPr>
      </w:pPr>
      <w:r>
        <w:rPr>
          <w:rFonts w:hint="eastAsia"/>
          <w:b/>
          <w:sz w:val="21"/>
          <w:szCs w:val="21"/>
        </w:rPr>
        <w:t>四、设计原则</w:t>
      </w:r>
    </w:p>
    <w:p>
      <w:pPr>
        <w:spacing w:line="360" w:lineRule="auto"/>
        <w:ind w:firstLine="420" w:firstLineChars="200"/>
        <w:outlineLvl w:val="0"/>
        <w:rPr>
          <w:rFonts w:ascii="宋体" w:hAnsi="宋体"/>
          <w:sz w:val="21"/>
          <w:szCs w:val="21"/>
        </w:rPr>
      </w:pPr>
      <w:r>
        <w:rPr>
          <w:rFonts w:hint="eastAsia" w:ascii="宋体" w:hAnsi="宋体"/>
          <w:sz w:val="21"/>
          <w:szCs w:val="21"/>
        </w:rPr>
        <w:t>设计满足国家及地区的规范、标准，并以修建性详细规划作为本工程的主要依据。</w:t>
      </w:r>
    </w:p>
    <w:p>
      <w:pPr>
        <w:spacing w:line="360" w:lineRule="auto"/>
        <w:ind w:firstLine="420" w:firstLineChars="200"/>
        <w:outlineLvl w:val="0"/>
        <w:rPr>
          <w:rFonts w:ascii="宋体" w:hAnsi="宋体"/>
          <w:sz w:val="21"/>
          <w:szCs w:val="21"/>
        </w:rPr>
      </w:pPr>
      <w:r>
        <w:rPr>
          <w:rFonts w:hint="eastAsia" w:ascii="宋体" w:hAnsi="宋体"/>
          <w:sz w:val="21"/>
          <w:szCs w:val="21"/>
        </w:rPr>
        <w:t>（1）排水体制：采用雨污分流制。</w:t>
      </w:r>
    </w:p>
    <w:p>
      <w:pPr>
        <w:spacing w:line="360" w:lineRule="auto"/>
        <w:ind w:firstLine="420" w:firstLineChars="200"/>
        <w:outlineLvl w:val="0"/>
        <w:rPr>
          <w:rFonts w:ascii="宋体" w:hAnsi="宋体"/>
          <w:sz w:val="21"/>
          <w:szCs w:val="21"/>
        </w:rPr>
      </w:pPr>
      <w:r>
        <w:rPr>
          <w:rFonts w:hint="eastAsia" w:ascii="宋体" w:hAnsi="宋体"/>
          <w:sz w:val="21"/>
          <w:szCs w:val="21"/>
        </w:rPr>
        <w:t>（</w:t>
      </w:r>
      <w:r>
        <w:rPr>
          <w:rFonts w:ascii="宋体" w:hAnsi="宋体"/>
          <w:sz w:val="21"/>
          <w:szCs w:val="21"/>
        </w:rPr>
        <w:t>2</w:t>
      </w:r>
      <w:r>
        <w:rPr>
          <w:rFonts w:hint="eastAsia" w:ascii="宋体" w:hAnsi="宋体"/>
          <w:sz w:val="21"/>
          <w:szCs w:val="21"/>
        </w:rPr>
        <w:t>）管道施工方法：采用开槽埋管。</w:t>
      </w:r>
    </w:p>
    <w:p>
      <w:pPr>
        <w:spacing w:line="360" w:lineRule="auto"/>
        <w:ind w:firstLine="421" w:firstLineChars="200"/>
        <w:rPr>
          <w:rFonts w:hint="eastAsia"/>
          <w:b/>
          <w:sz w:val="21"/>
          <w:szCs w:val="21"/>
        </w:rPr>
      </w:pPr>
      <w:r>
        <w:rPr>
          <w:rFonts w:hint="eastAsia"/>
          <w:b/>
          <w:sz w:val="21"/>
          <w:szCs w:val="21"/>
        </w:rPr>
        <w:t>五、场地地质情况</w:t>
      </w:r>
    </w:p>
    <w:p>
      <w:pPr>
        <w:spacing w:line="360" w:lineRule="auto"/>
        <w:ind w:firstLine="420" w:firstLineChars="200"/>
        <w:outlineLvl w:val="0"/>
        <w:rPr>
          <w:sz w:val="21"/>
          <w:szCs w:val="21"/>
        </w:rPr>
      </w:pPr>
      <w:r>
        <w:rPr>
          <w:sz w:val="21"/>
          <w:szCs w:val="21"/>
        </w:rPr>
        <w:t>1、地层岩性</w:t>
      </w:r>
    </w:p>
    <w:p>
      <w:pPr>
        <w:adjustRightInd w:val="0"/>
        <w:snapToGrid w:val="0"/>
        <w:spacing w:line="360" w:lineRule="auto"/>
        <w:ind w:firstLine="420" w:firstLineChars="200"/>
        <w:jc w:val="left"/>
        <w:rPr>
          <w:color w:val="000000"/>
          <w:sz w:val="21"/>
          <w:szCs w:val="21"/>
        </w:rPr>
      </w:pPr>
      <w:r>
        <w:rPr>
          <w:color w:val="000000"/>
          <w:sz w:val="21"/>
          <w:szCs w:val="21"/>
        </w:rPr>
        <w:t>区内地层简单，侏罗系地层分布广泛，为内陆河湖相沉积的碎屑岩、</w:t>
      </w:r>
      <w:r>
        <w:rPr>
          <w:rFonts w:hint="eastAsia"/>
          <w:color w:val="000000"/>
          <w:sz w:val="21"/>
          <w:szCs w:val="21"/>
        </w:rPr>
        <w:t>黏土</w:t>
      </w:r>
      <w:r>
        <w:rPr>
          <w:color w:val="000000"/>
          <w:sz w:val="21"/>
          <w:szCs w:val="21"/>
        </w:rPr>
        <w:t>岩，侏罗系上统蓬莱镇组(J</w:t>
      </w:r>
      <w:r>
        <w:rPr>
          <w:color w:val="000000"/>
          <w:sz w:val="21"/>
          <w:szCs w:val="21"/>
          <w:vertAlign w:val="subscript"/>
        </w:rPr>
        <w:t>3</w:t>
      </w:r>
      <w:r>
        <w:rPr>
          <w:color w:val="000000"/>
          <w:sz w:val="21"/>
          <w:szCs w:val="21"/>
        </w:rPr>
        <w:t>p)泥岩、</w:t>
      </w:r>
      <w:r>
        <w:rPr>
          <w:rFonts w:hint="eastAsia"/>
          <w:color w:val="000000"/>
          <w:sz w:val="21"/>
          <w:szCs w:val="21"/>
        </w:rPr>
        <w:t>泥质砂岩</w:t>
      </w:r>
      <w:r>
        <w:rPr>
          <w:color w:val="000000"/>
          <w:sz w:val="21"/>
          <w:szCs w:val="21"/>
        </w:rPr>
        <w:t>、粉砂岩、砂岩。分布于河道两岸，形成陡崖和斜坡。</w:t>
      </w:r>
    </w:p>
    <w:p>
      <w:pPr>
        <w:spacing w:line="360" w:lineRule="auto"/>
        <w:ind w:firstLine="420" w:firstLineChars="200"/>
        <w:rPr>
          <w:rFonts w:hint="eastAsia"/>
          <w:color w:val="000000"/>
          <w:sz w:val="21"/>
          <w:szCs w:val="21"/>
          <w:lang w:eastAsia="zh-CN"/>
        </w:rPr>
      </w:pPr>
      <w:r>
        <w:rPr>
          <w:color w:val="000000"/>
          <w:sz w:val="21"/>
          <w:szCs w:val="21"/>
        </w:rPr>
        <w:t>第四系(Q)</w:t>
      </w:r>
      <w:r>
        <w:rPr>
          <w:rFonts w:hint="eastAsia"/>
          <w:color w:val="000000"/>
          <w:sz w:val="21"/>
          <w:szCs w:val="21"/>
        </w:rPr>
        <w:t>在场区广泛分布</w:t>
      </w:r>
      <w:r>
        <w:rPr>
          <w:color w:val="000000"/>
          <w:sz w:val="21"/>
          <w:szCs w:val="21"/>
        </w:rPr>
        <w:t>，层厚不大，成因类型多样，缓坡</w:t>
      </w:r>
      <w:r>
        <w:rPr>
          <w:rFonts w:hint="eastAsia"/>
          <w:color w:val="000000"/>
          <w:sz w:val="21"/>
          <w:szCs w:val="21"/>
        </w:rPr>
        <w:t>、谷地</w:t>
      </w:r>
      <w:r>
        <w:rPr>
          <w:color w:val="000000"/>
          <w:sz w:val="21"/>
          <w:szCs w:val="21"/>
        </w:rPr>
        <w:t>地段以</w:t>
      </w:r>
      <w:r>
        <w:rPr>
          <w:rFonts w:hint="eastAsia"/>
          <w:color w:val="000000"/>
          <w:sz w:val="21"/>
          <w:szCs w:val="21"/>
        </w:rPr>
        <w:t>粉质黏土</w:t>
      </w:r>
      <w:r>
        <w:rPr>
          <w:color w:val="000000"/>
          <w:sz w:val="21"/>
          <w:szCs w:val="21"/>
        </w:rPr>
        <w:t>为主；河床内以</w:t>
      </w:r>
      <w:r>
        <w:rPr>
          <w:rFonts w:hint="eastAsia"/>
          <w:color w:val="000000"/>
          <w:sz w:val="21"/>
          <w:szCs w:val="21"/>
        </w:rPr>
        <w:t>冲洪积</w:t>
      </w:r>
      <w:r>
        <w:rPr>
          <w:color w:val="000000"/>
          <w:sz w:val="21"/>
          <w:szCs w:val="21"/>
        </w:rPr>
        <w:t>粉土、粉细砂、</w:t>
      </w:r>
      <w:r>
        <w:rPr>
          <w:rFonts w:hint="eastAsia"/>
          <w:color w:val="000000"/>
          <w:sz w:val="21"/>
          <w:szCs w:val="21"/>
        </w:rPr>
        <w:t>快</w:t>
      </w:r>
      <w:r>
        <w:rPr>
          <w:color w:val="000000"/>
          <w:sz w:val="21"/>
          <w:szCs w:val="21"/>
        </w:rPr>
        <w:t>石</w:t>
      </w:r>
      <w:r>
        <w:rPr>
          <w:rFonts w:hint="eastAsia"/>
          <w:color w:val="000000"/>
          <w:sz w:val="21"/>
          <w:szCs w:val="21"/>
        </w:rPr>
        <w:t>等</w:t>
      </w:r>
      <w:r>
        <w:rPr>
          <w:color w:val="000000"/>
          <w:sz w:val="21"/>
          <w:szCs w:val="21"/>
        </w:rPr>
        <w:t>为主，与下伏侏罗系上统蓬莱镇组（J</w:t>
      </w:r>
      <w:r>
        <w:rPr>
          <w:color w:val="000000"/>
          <w:sz w:val="21"/>
          <w:szCs w:val="21"/>
          <w:vertAlign w:val="subscript"/>
        </w:rPr>
        <w:t>3</w:t>
      </w:r>
      <w:r>
        <w:rPr>
          <w:color w:val="000000"/>
          <w:sz w:val="21"/>
          <w:szCs w:val="21"/>
        </w:rPr>
        <w:t>p）呈不整合接触</w:t>
      </w:r>
      <w:r>
        <w:rPr>
          <w:rFonts w:hint="eastAsia"/>
          <w:color w:val="000000"/>
          <w:sz w:val="21"/>
          <w:szCs w:val="21"/>
          <w:lang w:eastAsia="zh-CN"/>
        </w:rPr>
        <w:t>，</w:t>
      </w:r>
      <w:r>
        <w:rPr>
          <w:color w:val="000000"/>
          <w:sz w:val="21"/>
          <w:szCs w:val="21"/>
        </w:rPr>
        <w:t>各地层特征如下表</w:t>
      </w:r>
    </w:p>
    <w:tbl>
      <w:tblPr>
        <w:tblStyle w:val="21"/>
        <w:tblW w:w="9380"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28" w:type="dxa"/>
          <w:bottom w:w="0" w:type="dxa"/>
          <w:right w:w="28" w:type="dxa"/>
        </w:tblCellMar>
      </w:tblPr>
      <w:tblGrid>
        <w:gridCol w:w="313"/>
        <w:gridCol w:w="1369"/>
        <w:gridCol w:w="691"/>
        <w:gridCol w:w="5812"/>
        <w:gridCol w:w="119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28" w:type="dxa"/>
            <w:bottom w:w="0" w:type="dxa"/>
            <w:right w:w="28" w:type="dxa"/>
          </w:tblCellMar>
        </w:tblPrEx>
        <w:trPr>
          <w:cantSplit/>
          <w:trHeight w:val="562" w:hRule="atLeast"/>
          <w:jc w:val="center"/>
        </w:trPr>
        <w:tc>
          <w:tcPr>
            <w:tcW w:w="313" w:type="dxa"/>
            <w:tcBorders>
              <w:top w:val="single" w:color="auto" w:sz="12" w:space="0"/>
              <w:left w:val="single" w:color="auto" w:sz="12" w:space="0"/>
            </w:tcBorders>
            <w:noWrap w:val="0"/>
            <w:vAlign w:val="center"/>
          </w:tcPr>
          <w:p>
            <w:pPr>
              <w:adjustRightInd w:val="0"/>
              <w:snapToGrid w:val="0"/>
              <w:jc w:val="center"/>
              <w:rPr>
                <w:sz w:val="21"/>
                <w:szCs w:val="21"/>
              </w:rPr>
            </w:pPr>
            <w:r>
              <w:rPr>
                <w:sz w:val="21"/>
                <w:szCs w:val="21"/>
              </w:rPr>
              <w:t>序号</w:t>
            </w:r>
          </w:p>
        </w:tc>
        <w:tc>
          <w:tcPr>
            <w:tcW w:w="1369" w:type="dxa"/>
            <w:tcBorders>
              <w:top w:val="single" w:color="auto" w:sz="12" w:space="0"/>
            </w:tcBorders>
            <w:noWrap w:val="0"/>
            <w:vAlign w:val="center"/>
          </w:tcPr>
          <w:p>
            <w:pPr>
              <w:snapToGrid w:val="0"/>
              <w:ind w:right="280" w:rightChars="100"/>
              <w:jc w:val="center"/>
              <w:rPr>
                <w:sz w:val="21"/>
                <w:szCs w:val="21"/>
              </w:rPr>
            </w:pPr>
            <w:r>
              <w:rPr>
                <w:sz w:val="21"/>
                <w:szCs w:val="21"/>
              </w:rPr>
              <w:t>地质</w:t>
            </w:r>
          </w:p>
          <w:p>
            <w:pPr>
              <w:snapToGrid w:val="0"/>
              <w:ind w:right="280" w:rightChars="100"/>
              <w:jc w:val="center"/>
              <w:rPr>
                <w:sz w:val="21"/>
                <w:szCs w:val="21"/>
              </w:rPr>
            </w:pPr>
            <w:r>
              <w:rPr>
                <w:sz w:val="21"/>
                <w:szCs w:val="21"/>
              </w:rPr>
              <w:t>年代</w:t>
            </w:r>
          </w:p>
        </w:tc>
        <w:tc>
          <w:tcPr>
            <w:tcW w:w="691" w:type="dxa"/>
            <w:tcBorders>
              <w:top w:val="single" w:color="auto" w:sz="12" w:space="0"/>
            </w:tcBorders>
            <w:noWrap w:val="0"/>
            <w:vAlign w:val="center"/>
          </w:tcPr>
          <w:p>
            <w:pPr>
              <w:snapToGrid w:val="0"/>
              <w:ind w:right="280" w:rightChars="100"/>
              <w:jc w:val="center"/>
              <w:rPr>
                <w:sz w:val="21"/>
                <w:szCs w:val="21"/>
              </w:rPr>
            </w:pPr>
            <w:r>
              <w:rPr>
                <w:sz w:val="21"/>
                <w:szCs w:val="21"/>
              </w:rPr>
              <w:t>地层</w:t>
            </w:r>
          </w:p>
          <w:p>
            <w:pPr>
              <w:snapToGrid w:val="0"/>
              <w:ind w:right="280" w:rightChars="100"/>
              <w:jc w:val="center"/>
              <w:rPr>
                <w:sz w:val="21"/>
                <w:szCs w:val="21"/>
              </w:rPr>
            </w:pPr>
            <w:r>
              <w:rPr>
                <w:sz w:val="21"/>
                <w:szCs w:val="21"/>
              </w:rPr>
              <w:t>代号</w:t>
            </w:r>
          </w:p>
        </w:tc>
        <w:tc>
          <w:tcPr>
            <w:tcW w:w="5812" w:type="dxa"/>
            <w:tcBorders>
              <w:top w:val="single" w:color="auto" w:sz="12" w:space="0"/>
              <w:right w:val="single" w:color="auto" w:sz="4" w:space="0"/>
            </w:tcBorders>
            <w:noWrap w:val="0"/>
            <w:vAlign w:val="center"/>
          </w:tcPr>
          <w:p>
            <w:pPr>
              <w:snapToGrid w:val="0"/>
              <w:ind w:right="280" w:rightChars="100"/>
              <w:jc w:val="center"/>
              <w:rPr>
                <w:sz w:val="21"/>
                <w:szCs w:val="21"/>
              </w:rPr>
            </w:pPr>
            <w:r>
              <w:rPr>
                <w:sz w:val="21"/>
                <w:szCs w:val="21"/>
              </w:rPr>
              <w:t>岩  性  特  征</w:t>
            </w:r>
          </w:p>
        </w:tc>
        <w:tc>
          <w:tcPr>
            <w:tcW w:w="1195" w:type="dxa"/>
            <w:tcBorders>
              <w:top w:val="single" w:color="auto" w:sz="12" w:space="0"/>
              <w:left w:val="single" w:color="auto" w:sz="4" w:space="0"/>
              <w:right w:val="single" w:color="auto" w:sz="12" w:space="0"/>
            </w:tcBorders>
            <w:noWrap w:val="0"/>
            <w:vAlign w:val="center"/>
          </w:tcPr>
          <w:p>
            <w:pPr>
              <w:snapToGrid w:val="0"/>
              <w:ind w:right="280" w:rightChars="100"/>
              <w:jc w:val="center"/>
              <w:rPr>
                <w:sz w:val="21"/>
                <w:szCs w:val="21"/>
              </w:rPr>
            </w:pPr>
            <w:r>
              <w:rPr>
                <w:sz w:val="21"/>
                <w:szCs w:val="21"/>
              </w:rPr>
              <w:t>分布地段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28" w:type="dxa"/>
            <w:bottom w:w="0" w:type="dxa"/>
            <w:right w:w="28" w:type="dxa"/>
          </w:tblCellMar>
        </w:tblPrEx>
        <w:trPr>
          <w:cantSplit/>
          <w:trHeight w:val="739" w:hRule="atLeast"/>
          <w:jc w:val="center"/>
        </w:trPr>
        <w:tc>
          <w:tcPr>
            <w:tcW w:w="313" w:type="dxa"/>
            <w:tcBorders>
              <w:left w:val="single" w:color="auto" w:sz="12" w:space="0"/>
            </w:tcBorders>
            <w:noWrap w:val="0"/>
            <w:vAlign w:val="center"/>
          </w:tcPr>
          <w:p>
            <w:pPr>
              <w:adjustRightInd w:val="0"/>
              <w:snapToGrid w:val="0"/>
              <w:jc w:val="center"/>
              <w:rPr>
                <w:sz w:val="21"/>
                <w:szCs w:val="21"/>
              </w:rPr>
            </w:pPr>
            <w:r>
              <w:rPr>
                <w:sz w:val="21"/>
                <w:szCs w:val="21"/>
              </w:rPr>
              <w:t>1</w:t>
            </w:r>
          </w:p>
        </w:tc>
        <w:tc>
          <w:tcPr>
            <w:tcW w:w="1369" w:type="dxa"/>
            <w:noWrap w:val="0"/>
            <w:vAlign w:val="center"/>
          </w:tcPr>
          <w:p>
            <w:pPr>
              <w:snapToGrid w:val="0"/>
              <w:ind w:right="280" w:rightChars="100"/>
              <w:jc w:val="center"/>
              <w:rPr>
                <w:sz w:val="21"/>
                <w:szCs w:val="21"/>
              </w:rPr>
            </w:pPr>
            <w:r>
              <w:rPr>
                <w:sz w:val="21"/>
                <w:szCs w:val="21"/>
              </w:rPr>
              <w:t>第四系</w:t>
            </w:r>
          </w:p>
          <w:p>
            <w:pPr>
              <w:snapToGrid w:val="0"/>
              <w:ind w:right="280" w:rightChars="100"/>
              <w:jc w:val="center"/>
              <w:rPr>
                <w:sz w:val="21"/>
                <w:szCs w:val="21"/>
              </w:rPr>
            </w:pPr>
            <w:r>
              <w:rPr>
                <w:sz w:val="21"/>
                <w:szCs w:val="21"/>
              </w:rPr>
              <w:t>全新统</w:t>
            </w:r>
          </w:p>
        </w:tc>
        <w:tc>
          <w:tcPr>
            <w:tcW w:w="691" w:type="dxa"/>
            <w:noWrap w:val="0"/>
            <w:vAlign w:val="center"/>
          </w:tcPr>
          <w:p>
            <w:pPr>
              <w:snapToGrid w:val="0"/>
              <w:ind w:right="280" w:rightChars="100"/>
              <w:jc w:val="center"/>
              <w:rPr>
                <w:sz w:val="21"/>
                <w:szCs w:val="21"/>
              </w:rPr>
            </w:pPr>
            <w:r>
              <w:rPr>
                <w:sz w:val="21"/>
                <w:szCs w:val="21"/>
              </w:rPr>
              <w:t>Q</w:t>
            </w:r>
            <w:r>
              <w:rPr>
                <w:sz w:val="21"/>
                <w:szCs w:val="21"/>
                <w:vertAlign w:val="subscript"/>
              </w:rPr>
              <w:t>4</w:t>
            </w:r>
          </w:p>
        </w:tc>
        <w:tc>
          <w:tcPr>
            <w:tcW w:w="5812" w:type="dxa"/>
            <w:tcBorders>
              <w:right w:val="single" w:color="auto" w:sz="4" w:space="0"/>
            </w:tcBorders>
            <w:noWrap w:val="0"/>
            <w:vAlign w:val="center"/>
          </w:tcPr>
          <w:p>
            <w:pPr>
              <w:snapToGrid w:val="0"/>
              <w:ind w:right="280" w:rightChars="100" w:firstLine="315" w:firstLineChars="150"/>
              <w:rPr>
                <w:sz w:val="21"/>
                <w:szCs w:val="21"/>
              </w:rPr>
            </w:pPr>
            <w:r>
              <w:rPr>
                <w:rFonts w:hint="eastAsia"/>
                <w:sz w:val="21"/>
                <w:szCs w:val="21"/>
              </w:rPr>
              <w:t>人工填筑</w:t>
            </w:r>
            <w:r>
              <w:rPr>
                <w:sz w:val="21"/>
                <w:szCs w:val="21"/>
              </w:rPr>
              <w:t>层：为</w:t>
            </w:r>
            <w:r>
              <w:rPr>
                <w:rFonts w:hint="eastAsia"/>
                <w:sz w:val="21"/>
                <w:szCs w:val="21"/>
              </w:rPr>
              <w:t>杂</w:t>
            </w:r>
            <w:r>
              <w:rPr>
                <w:sz w:val="21"/>
                <w:szCs w:val="21"/>
              </w:rPr>
              <w:t>色</w:t>
            </w:r>
            <w:r>
              <w:rPr>
                <w:rFonts w:hint="eastAsia"/>
                <w:sz w:val="21"/>
                <w:szCs w:val="21"/>
              </w:rPr>
              <w:t>杂填</w:t>
            </w:r>
            <w:r>
              <w:rPr>
                <w:sz w:val="21"/>
                <w:szCs w:val="21"/>
              </w:rPr>
              <w:t>土，</w:t>
            </w:r>
            <w:r>
              <w:rPr>
                <w:rFonts w:hint="eastAsia"/>
                <w:sz w:val="21"/>
                <w:szCs w:val="21"/>
              </w:rPr>
              <w:t>成分以砼体、粉质粘土为主，主要为场镇建设基础，</w:t>
            </w:r>
            <w:r>
              <w:rPr>
                <w:sz w:val="21"/>
                <w:szCs w:val="21"/>
              </w:rPr>
              <w:t>层厚约</w:t>
            </w:r>
            <w:r>
              <w:rPr>
                <w:rFonts w:hint="eastAsia"/>
                <w:sz w:val="21"/>
                <w:szCs w:val="21"/>
              </w:rPr>
              <w:t>0.7</w:t>
            </w:r>
            <w:r>
              <w:rPr>
                <w:sz w:val="21"/>
                <w:szCs w:val="21"/>
              </w:rPr>
              <w:t>～</w:t>
            </w:r>
            <w:r>
              <w:rPr>
                <w:rFonts w:hint="eastAsia"/>
                <w:sz w:val="21"/>
                <w:szCs w:val="21"/>
              </w:rPr>
              <w:t>3.6</w:t>
            </w:r>
            <w:r>
              <w:rPr>
                <w:sz w:val="21"/>
                <w:szCs w:val="21"/>
              </w:rPr>
              <w:t>m。</w:t>
            </w:r>
          </w:p>
        </w:tc>
        <w:tc>
          <w:tcPr>
            <w:tcW w:w="1195" w:type="dxa"/>
            <w:tcBorders>
              <w:left w:val="single" w:color="auto" w:sz="4" w:space="0"/>
              <w:right w:val="single" w:color="auto" w:sz="12" w:space="0"/>
            </w:tcBorders>
            <w:noWrap w:val="0"/>
            <w:vAlign w:val="center"/>
          </w:tcPr>
          <w:p>
            <w:pPr>
              <w:snapToGrid w:val="0"/>
              <w:ind w:right="280" w:rightChars="100"/>
              <w:jc w:val="center"/>
              <w:rPr>
                <w:sz w:val="21"/>
                <w:szCs w:val="21"/>
              </w:rPr>
            </w:pPr>
            <w:r>
              <w:rPr>
                <w:sz w:val="21"/>
                <w:szCs w:val="21"/>
              </w:rPr>
              <w:t>河漫滩及一级阶地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28" w:type="dxa"/>
            <w:bottom w:w="0" w:type="dxa"/>
            <w:right w:w="28" w:type="dxa"/>
          </w:tblCellMar>
        </w:tblPrEx>
        <w:trPr>
          <w:cantSplit/>
          <w:trHeight w:val="1373" w:hRule="atLeast"/>
          <w:jc w:val="center"/>
        </w:trPr>
        <w:tc>
          <w:tcPr>
            <w:tcW w:w="313" w:type="dxa"/>
            <w:tcBorders>
              <w:left w:val="single" w:color="auto" w:sz="12" w:space="0"/>
              <w:bottom w:val="single" w:color="auto" w:sz="12" w:space="0"/>
            </w:tcBorders>
            <w:noWrap w:val="0"/>
            <w:vAlign w:val="center"/>
          </w:tcPr>
          <w:p>
            <w:pPr>
              <w:adjustRightInd w:val="0"/>
              <w:snapToGrid w:val="0"/>
              <w:jc w:val="center"/>
              <w:rPr>
                <w:rFonts w:hint="eastAsia"/>
                <w:sz w:val="21"/>
                <w:szCs w:val="21"/>
              </w:rPr>
            </w:pPr>
            <w:r>
              <w:rPr>
                <w:rFonts w:hint="eastAsia"/>
                <w:sz w:val="21"/>
                <w:szCs w:val="21"/>
              </w:rPr>
              <w:t>2</w:t>
            </w:r>
          </w:p>
        </w:tc>
        <w:tc>
          <w:tcPr>
            <w:tcW w:w="1369" w:type="dxa"/>
            <w:tcBorders>
              <w:bottom w:val="single" w:color="auto" w:sz="12" w:space="0"/>
            </w:tcBorders>
            <w:noWrap w:val="0"/>
            <w:vAlign w:val="center"/>
          </w:tcPr>
          <w:p>
            <w:pPr>
              <w:snapToGrid w:val="0"/>
              <w:ind w:left="69" w:right="280" w:rightChars="100" w:hanging="69" w:hangingChars="33"/>
              <w:jc w:val="center"/>
              <w:rPr>
                <w:sz w:val="21"/>
                <w:szCs w:val="21"/>
              </w:rPr>
            </w:pPr>
            <w:r>
              <w:rPr>
                <w:sz w:val="21"/>
                <w:szCs w:val="21"/>
              </w:rPr>
              <w:t>侏罗系上统</w:t>
            </w:r>
          </w:p>
          <w:p>
            <w:pPr>
              <w:snapToGrid w:val="0"/>
              <w:ind w:left="69" w:right="280" w:rightChars="100" w:hanging="69" w:hangingChars="33"/>
              <w:jc w:val="center"/>
              <w:rPr>
                <w:sz w:val="21"/>
                <w:szCs w:val="21"/>
              </w:rPr>
            </w:pPr>
            <w:r>
              <w:rPr>
                <w:sz w:val="21"/>
                <w:szCs w:val="21"/>
              </w:rPr>
              <w:t>蓬莱镇组</w:t>
            </w:r>
          </w:p>
        </w:tc>
        <w:tc>
          <w:tcPr>
            <w:tcW w:w="691" w:type="dxa"/>
            <w:tcBorders>
              <w:bottom w:val="single" w:color="auto" w:sz="12" w:space="0"/>
            </w:tcBorders>
            <w:noWrap w:val="0"/>
            <w:vAlign w:val="center"/>
          </w:tcPr>
          <w:p>
            <w:pPr>
              <w:snapToGrid w:val="0"/>
              <w:ind w:right="280" w:rightChars="100"/>
              <w:jc w:val="center"/>
              <w:rPr>
                <w:sz w:val="21"/>
                <w:szCs w:val="21"/>
              </w:rPr>
            </w:pPr>
            <w:r>
              <w:rPr>
                <w:sz w:val="21"/>
                <w:szCs w:val="21"/>
              </w:rPr>
              <w:t>J</w:t>
            </w:r>
            <w:r>
              <w:rPr>
                <w:sz w:val="21"/>
                <w:szCs w:val="21"/>
                <w:vertAlign w:val="subscript"/>
              </w:rPr>
              <w:t>3p</w:t>
            </w:r>
          </w:p>
        </w:tc>
        <w:tc>
          <w:tcPr>
            <w:tcW w:w="5812" w:type="dxa"/>
            <w:tcBorders>
              <w:bottom w:val="single" w:color="auto" w:sz="12" w:space="0"/>
              <w:right w:val="single" w:color="auto" w:sz="4" w:space="0"/>
            </w:tcBorders>
            <w:noWrap w:val="0"/>
            <w:vAlign w:val="center"/>
          </w:tcPr>
          <w:p>
            <w:pPr>
              <w:snapToGrid w:val="0"/>
              <w:ind w:right="280" w:rightChars="100" w:firstLine="315" w:firstLineChars="150"/>
              <w:rPr>
                <w:sz w:val="21"/>
                <w:szCs w:val="21"/>
              </w:rPr>
            </w:pPr>
            <w:r>
              <w:rPr>
                <w:sz w:val="21"/>
                <w:szCs w:val="21"/>
              </w:rPr>
              <w:t>中、下部为紫红色泥岩，</w:t>
            </w:r>
            <w:r>
              <w:rPr>
                <w:rFonts w:hint="eastAsia"/>
                <w:sz w:val="21"/>
                <w:szCs w:val="21"/>
              </w:rPr>
              <w:t>泥质砂岩</w:t>
            </w:r>
            <w:r>
              <w:rPr>
                <w:sz w:val="21"/>
                <w:szCs w:val="21"/>
              </w:rPr>
              <w:t>、粉砂岩互层，夹紫红、灰白色厚层块状细粒长石砂岩、岩屑长石砂岩；底部为灰白色块状细-中粒长石砂岩；中部夹水云母泥岩及薄层泥灰岩；上部为紫红色泥岩，粉砂岩与灰紫色厚层块状岩屑长石砂岩、长石砂岩</w:t>
            </w:r>
            <w:r>
              <w:rPr>
                <w:rFonts w:hint="eastAsia"/>
                <w:sz w:val="21"/>
                <w:szCs w:val="21"/>
              </w:rPr>
              <w:t>不</w:t>
            </w:r>
            <w:r>
              <w:rPr>
                <w:sz w:val="21"/>
                <w:szCs w:val="21"/>
              </w:rPr>
              <w:t>等厚互层，层厚约355m。</w:t>
            </w:r>
          </w:p>
        </w:tc>
        <w:tc>
          <w:tcPr>
            <w:tcW w:w="1195" w:type="dxa"/>
            <w:tcBorders>
              <w:left w:val="single" w:color="auto" w:sz="4" w:space="0"/>
              <w:bottom w:val="single" w:color="auto" w:sz="12" w:space="0"/>
              <w:right w:val="single" w:color="auto" w:sz="12" w:space="0"/>
            </w:tcBorders>
            <w:noWrap w:val="0"/>
            <w:vAlign w:val="center"/>
          </w:tcPr>
          <w:p>
            <w:pPr>
              <w:snapToGrid w:val="0"/>
              <w:ind w:right="280" w:rightChars="100"/>
              <w:jc w:val="center"/>
              <w:rPr>
                <w:sz w:val="21"/>
                <w:szCs w:val="21"/>
              </w:rPr>
            </w:pPr>
            <w:r>
              <w:rPr>
                <w:sz w:val="21"/>
                <w:szCs w:val="21"/>
              </w:rPr>
              <w:t>本区域均有分布</w:t>
            </w:r>
          </w:p>
        </w:tc>
      </w:tr>
    </w:tbl>
    <w:p>
      <w:pPr>
        <w:numPr>
          <w:ilvl w:val="0"/>
          <w:numId w:val="1"/>
        </w:numPr>
        <w:spacing w:line="360" w:lineRule="auto"/>
        <w:ind w:firstLine="420" w:firstLineChars="200"/>
        <w:outlineLvl w:val="0"/>
        <w:rPr>
          <w:bCs/>
          <w:sz w:val="21"/>
          <w:szCs w:val="21"/>
        </w:rPr>
      </w:pPr>
      <w:r>
        <w:rPr>
          <w:bCs/>
          <w:sz w:val="21"/>
          <w:szCs w:val="21"/>
        </w:rPr>
        <w:t>沿线地层及特性</w:t>
      </w:r>
    </w:p>
    <w:p>
      <w:pPr>
        <w:numPr>
          <w:ilvl w:val="0"/>
          <w:numId w:val="0"/>
        </w:numPr>
        <w:spacing w:line="360" w:lineRule="auto"/>
        <w:outlineLvl w:val="0"/>
        <w:rPr>
          <w:rFonts w:hint="eastAsia"/>
          <w:bCs/>
          <w:sz w:val="21"/>
          <w:szCs w:val="21"/>
        </w:rPr>
      </w:pPr>
      <w:r>
        <w:rPr>
          <w:rFonts w:hint="eastAsia"/>
          <w:bCs/>
          <w:sz w:val="21"/>
          <w:szCs w:val="21"/>
        </w:rPr>
        <w:t xml:space="preserve"> </w:t>
      </w:r>
      <w:r>
        <w:rPr>
          <w:rFonts w:hint="eastAsia"/>
          <w:bCs/>
          <w:sz w:val="21"/>
          <w:szCs w:val="21"/>
          <w:lang w:val="en-US" w:eastAsia="zh-CN"/>
        </w:rPr>
        <w:t xml:space="preserve">   </w:t>
      </w:r>
      <w:r>
        <w:rPr>
          <w:rFonts w:hint="eastAsia"/>
          <w:bCs/>
          <w:sz w:val="21"/>
          <w:szCs w:val="21"/>
        </w:rPr>
        <w:t>在本次勘察深度范围内，管道沿线地层主要由第四系全新统人工填筑层（Q4ml）、第四系全新统冲洪积层（Q4al+pl）以及下伏侏罗纪蓬莱镇组（J3p）基岩组成。现将沿线各土层的结构特征分述如下：</w:t>
      </w:r>
    </w:p>
    <w:p>
      <w:pPr>
        <w:numPr>
          <w:ilvl w:val="0"/>
          <w:numId w:val="0"/>
        </w:numPr>
        <w:spacing w:line="360" w:lineRule="auto"/>
        <w:ind w:firstLine="420" w:firstLineChars="200"/>
        <w:outlineLvl w:val="0"/>
        <w:rPr>
          <w:rFonts w:hint="eastAsia"/>
          <w:bCs/>
          <w:sz w:val="21"/>
          <w:szCs w:val="21"/>
        </w:rPr>
      </w:pPr>
      <w:r>
        <w:rPr>
          <w:rFonts w:hint="eastAsia" w:ascii="Times New Roman" w:eastAsia="宋体" w:cs="Times New Roman"/>
          <w:color w:val="auto"/>
          <w:kern w:val="2"/>
          <w:sz w:val="21"/>
          <w:szCs w:val="21"/>
        </w:rPr>
        <w:t>2.1</w:t>
      </w:r>
      <w:r>
        <w:rPr>
          <w:rFonts w:hint="eastAsia"/>
          <w:bCs/>
          <w:sz w:val="21"/>
          <w:szCs w:val="21"/>
        </w:rPr>
        <w:t>第四系全新统人工填筑层（Q4ml）：</w:t>
      </w:r>
    </w:p>
    <w:p>
      <w:pPr>
        <w:numPr>
          <w:ilvl w:val="0"/>
          <w:numId w:val="0"/>
        </w:numPr>
        <w:spacing w:line="360" w:lineRule="auto"/>
        <w:ind w:firstLine="420" w:firstLineChars="200"/>
        <w:outlineLvl w:val="0"/>
        <w:rPr>
          <w:rFonts w:hint="eastAsia"/>
          <w:bCs/>
          <w:sz w:val="21"/>
          <w:szCs w:val="21"/>
        </w:rPr>
      </w:pPr>
      <w:r>
        <w:rPr>
          <w:rFonts w:hint="eastAsia"/>
          <w:bCs/>
          <w:sz w:val="21"/>
          <w:szCs w:val="21"/>
        </w:rPr>
        <w:t>杂填土：拟建管道沿线广泛分布，杂色，松散～稍密状，为原城区道路地基。主要由砼体、卵石、粉质粘土等组成，砼体、卵石粒径以5-10cm为主，少量大于15cm，含量约占65%-75%，层厚0.9～4.8m左右。回填年限小于5年，未固结。</w:t>
      </w:r>
    </w:p>
    <w:p>
      <w:pPr>
        <w:numPr>
          <w:ilvl w:val="0"/>
          <w:numId w:val="0"/>
        </w:numPr>
        <w:spacing w:line="360" w:lineRule="auto"/>
        <w:ind w:firstLine="420" w:firstLineChars="200"/>
        <w:outlineLvl w:val="0"/>
        <w:rPr>
          <w:rFonts w:hint="eastAsia"/>
          <w:bCs/>
          <w:sz w:val="21"/>
          <w:szCs w:val="21"/>
        </w:rPr>
      </w:pPr>
      <w:r>
        <w:rPr>
          <w:rFonts w:hint="eastAsia" w:ascii="Times New Roman" w:eastAsia="宋体" w:cs="Times New Roman"/>
          <w:color w:val="auto"/>
          <w:kern w:val="2"/>
          <w:sz w:val="21"/>
          <w:szCs w:val="21"/>
        </w:rPr>
        <w:t>2.</w:t>
      </w:r>
      <w:r>
        <w:rPr>
          <w:rFonts w:hint="eastAsia" w:ascii="Times New Roman" w:eastAsia="宋体" w:cs="Times New Roman"/>
          <w:color w:val="auto"/>
          <w:kern w:val="2"/>
          <w:sz w:val="21"/>
          <w:szCs w:val="21"/>
          <w:lang w:val="en-US" w:eastAsia="zh-CN"/>
        </w:rPr>
        <w:t>2</w:t>
      </w:r>
      <w:r>
        <w:rPr>
          <w:rFonts w:hint="eastAsia"/>
          <w:bCs/>
          <w:sz w:val="21"/>
          <w:szCs w:val="21"/>
        </w:rPr>
        <w:t>第四系全新统冲洪积层（Q4al+pl）：粉土</w:t>
      </w:r>
    </w:p>
    <w:p>
      <w:pPr>
        <w:numPr>
          <w:ilvl w:val="0"/>
          <w:numId w:val="0"/>
        </w:numPr>
        <w:spacing w:line="360" w:lineRule="auto"/>
        <w:ind w:firstLine="420" w:firstLineChars="200"/>
        <w:outlineLvl w:val="0"/>
        <w:rPr>
          <w:rFonts w:hint="eastAsia"/>
          <w:bCs/>
          <w:sz w:val="21"/>
          <w:szCs w:val="21"/>
        </w:rPr>
      </w:pPr>
      <w:r>
        <w:rPr>
          <w:rFonts w:hint="eastAsia"/>
          <w:bCs/>
          <w:sz w:val="21"/>
          <w:szCs w:val="21"/>
        </w:rPr>
        <w:t>褐灰色为主，稍湿～湿，中密状，干强度低，韧性低，无光泽反应，摇振反应强。揭露埋深2.10～3.20m，顶面埋深标高329.310～330.630m，揭露层厚3.20～4.30m。</w:t>
      </w:r>
    </w:p>
    <w:p>
      <w:pPr>
        <w:numPr>
          <w:ilvl w:val="0"/>
          <w:numId w:val="0"/>
        </w:numPr>
        <w:spacing w:line="360" w:lineRule="auto"/>
        <w:ind w:firstLine="420" w:firstLineChars="200"/>
        <w:outlineLvl w:val="0"/>
        <w:rPr>
          <w:rFonts w:hint="eastAsia"/>
          <w:bCs/>
          <w:sz w:val="21"/>
          <w:szCs w:val="21"/>
        </w:rPr>
      </w:pPr>
      <w:r>
        <w:rPr>
          <w:rFonts w:hint="eastAsia" w:ascii="Times New Roman" w:eastAsia="宋体" w:cs="Times New Roman"/>
          <w:color w:val="auto"/>
          <w:kern w:val="2"/>
          <w:sz w:val="21"/>
          <w:szCs w:val="21"/>
        </w:rPr>
        <w:t>2.</w:t>
      </w:r>
      <w:r>
        <w:rPr>
          <w:rFonts w:hint="eastAsia" w:ascii="Times New Roman" w:eastAsia="宋体" w:cs="Times New Roman"/>
          <w:color w:val="auto"/>
          <w:kern w:val="2"/>
          <w:sz w:val="21"/>
          <w:szCs w:val="21"/>
          <w:lang w:val="en-US" w:eastAsia="zh-CN"/>
        </w:rPr>
        <w:t>3</w:t>
      </w:r>
      <w:r>
        <w:rPr>
          <w:rFonts w:hint="eastAsia"/>
          <w:bCs/>
          <w:sz w:val="21"/>
          <w:szCs w:val="21"/>
        </w:rPr>
        <w:t>第四系全新统冲洪积层（Q4al+pl）：粉质黏土</w:t>
      </w:r>
    </w:p>
    <w:p>
      <w:pPr>
        <w:numPr>
          <w:ilvl w:val="0"/>
          <w:numId w:val="0"/>
        </w:numPr>
        <w:spacing w:line="360" w:lineRule="auto"/>
        <w:ind w:firstLine="420" w:firstLineChars="200"/>
        <w:outlineLvl w:val="0"/>
        <w:rPr>
          <w:rFonts w:hint="eastAsia"/>
          <w:bCs/>
          <w:sz w:val="21"/>
          <w:szCs w:val="21"/>
        </w:rPr>
      </w:pPr>
      <w:r>
        <w:rPr>
          <w:rFonts w:hint="eastAsia"/>
          <w:bCs/>
          <w:sz w:val="21"/>
          <w:szCs w:val="21"/>
        </w:rPr>
        <w:t>褐黄色，稍湿，可塑状。成分以黏土矿物为主；切面光滑，韧性中等，干强度中等，无摇震反应。揭露埋深0.40～4.80m，顶面埋深标高328.220～337.310m，揭示厚度0.50～4.30m。</w:t>
      </w:r>
    </w:p>
    <w:p>
      <w:pPr>
        <w:numPr>
          <w:ilvl w:val="0"/>
          <w:numId w:val="0"/>
        </w:numPr>
        <w:spacing w:line="360" w:lineRule="auto"/>
        <w:ind w:firstLine="420" w:firstLineChars="200"/>
        <w:outlineLvl w:val="0"/>
        <w:rPr>
          <w:rFonts w:hint="eastAsia"/>
          <w:bCs/>
          <w:sz w:val="21"/>
          <w:szCs w:val="21"/>
        </w:rPr>
      </w:pPr>
      <w:r>
        <w:rPr>
          <w:rFonts w:hint="eastAsia" w:ascii="Times New Roman" w:eastAsia="宋体" w:cs="Times New Roman"/>
          <w:color w:val="auto"/>
          <w:kern w:val="2"/>
          <w:sz w:val="21"/>
          <w:szCs w:val="21"/>
        </w:rPr>
        <w:t>2.</w:t>
      </w:r>
      <w:r>
        <w:rPr>
          <w:rFonts w:hint="eastAsia" w:ascii="Times New Roman" w:eastAsia="宋体" w:cs="Times New Roman"/>
          <w:color w:val="auto"/>
          <w:kern w:val="2"/>
          <w:sz w:val="21"/>
          <w:szCs w:val="21"/>
          <w:lang w:val="en-US" w:eastAsia="zh-CN"/>
        </w:rPr>
        <w:t>4</w:t>
      </w:r>
      <w:r>
        <w:rPr>
          <w:rFonts w:hint="eastAsia"/>
          <w:bCs/>
          <w:sz w:val="21"/>
          <w:szCs w:val="21"/>
        </w:rPr>
        <w:t>侏罗纪蓬莱镇组（J3P）：泥岩</w:t>
      </w:r>
    </w:p>
    <w:p>
      <w:pPr>
        <w:numPr>
          <w:ilvl w:val="0"/>
          <w:numId w:val="0"/>
        </w:numPr>
        <w:spacing w:line="360" w:lineRule="auto"/>
        <w:ind w:firstLine="420" w:firstLineChars="200"/>
        <w:outlineLvl w:val="0"/>
        <w:rPr>
          <w:rFonts w:hint="eastAsia"/>
          <w:bCs/>
          <w:sz w:val="21"/>
          <w:szCs w:val="21"/>
        </w:rPr>
      </w:pPr>
      <w:r>
        <w:rPr>
          <w:rFonts w:hint="eastAsia"/>
          <w:bCs/>
          <w:sz w:val="21"/>
          <w:szCs w:val="21"/>
        </w:rPr>
        <w:t>场地内钻孔均有所揭示，紫红色，成分以石英、长石及黏土矿物为主。泥质粉砂结构，薄层状构造，泥钙质胶结，风化裂隙发育，取芯较为破碎，钻孔揭示深度范围内该层为强风化、中风化层。</w:t>
      </w:r>
    </w:p>
    <w:p>
      <w:pPr>
        <w:numPr>
          <w:ilvl w:val="0"/>
          <w:numId w:val="0"/>
        </w:numPr>
        <w:spacing w:line="360" w:lineRule="auto"/>
        <w:ind w:firstLine="420" w:firstLineChars="200"/>
        <w:outlineLvl w:val="0"/>
        <w:rPr>
          <w:rFonts w:hint="eastAsia"/>
          <w:bCs/>
          <w:sz w:val="21"/>
          <w:szCs w:val="21"/>
        </w:rPr>
      </w:pPr>
      <w:r>
        <w:rPr>
          <w:rFonts w:hint="eastAsia"/>
          <w:bCs/>
          <w:sz w:val="21"/>
          <w:szCs w:val="21"/>
        </w:rPr>
        <w:t>强风化层：风化裂隙发育，岩性较软，岩体破碎，岩芯呈碎块状及短柱状，用镐可挖掘，干钻可钻进，岩芯采取率在70%左右，RQD值20左右，分布于场地南侧地段砂岩顶面，层厚1.1～2.6m。</w:t>
      </w:r>
    </w:p>
    <w:p>
      <w:pPr>
        <w:numPr>
          <w:ilvl w:val="0"/>
          <w:numId w:val="0"/>
        </w:numPr>
        <w:spacing w:line="360" w:lineRule="auto"/>
        <w:ind w:firstLine="420" w:firstLineChars="200"/>
        <w:outlineLvl w:val="0"/>
        <w:rPr>
          <w:rFonts w:hint="eastAsia"/>
          <w:bCs/>
          <w:sz w:val="21"/>
          <w:szCs w:val="21"/>
        </w:rPr>
      </w:pPr>
      <w:r>
        <w:rPr>
          <w:rFonts w:hint="eastAsia"/>
          <w:bCs/>
          <w:sz w:val="21"/>
          <w:szCs w:val="21"/>
        </w:rPr>
        <w:t>中风化层：风化裂隙较发育，岩性相对较硬，指甲能刻划成浅槽，未见构造裂隙，岩芯钻方可钻进，岩芯呈短柱状，偶呈长柱状，岩芯采取率在95%左右，RQD值90左右，岩体完整程度为较完整，主要分布于强风化基岩层以下，揭露层厚1.4～4.9m。</w:t>
      </w:r>
    </w:p>
    <w:p>
      <w:pPr>
        <w:numPr>
          <w:ilvl w:val="0"/>
          <w:numId w:val="1"/>
        </w:numPr>
        <w:spacing w:line="360" w:lineRule="auto"/>
        <w:ind w:left="0" w:leftChars="0" w:firstLine="420" w:firstLineChars="200"/>
        <w:outlineLvl w:val="0"/>
        <w:rPr>
          <w:rFonts w:hint="eastAsia"/>
          <w:bCs/>
          <w:sz w:val="21"/>
          <w:szCs w:val="21"/>
        </w:rPr>
      </w:pPr>
      <w:r>
        <w:rPr>
          <w:rFonts w:hint="eastAsia"/>
          <w:bCs/>
          <w:sz w:val="21"/>
          <w:szCs w:val="21"/>
        </w:rPr>
        <w:t>地表水</w:t>
      </w:r>
    </w:p>
    <w:p>
      <w:pPr>
        <w:numPr>
          <w:ilvl w:val="0"/>
          <w:numId w:val="0"/>
        </w:numPr>
        <w:spacing w:line="360" w:lineRule="auto"/>
        <w:ind w:firstLine="420" w:firstLineChars="200"/>
        <w:outlineLvl w:val="0"/>
        <w:rPr>
          <w:rFonts w:hint="eastAsia"/>
          <w:bCs/>
          <w:sz w:val="21"/>
          <w:szCs w:val="21"/>
        </w:rPr>
      </w:pPr>
      <w:r>
        <w:rPr>
          <w:rFonts w:hint="eastAsia"/>
          <w:bCs/>
          <w:sz w:val="21"/>
          <w:szCs w:val="21"/>
        </w:rPr>
        <w:t>场区地表水主要为场地周边居民生活用水及场镇排污渠。前者高层约329.00左右，水量较小，易受污染，以向下渗透的方式排泄。后者水量较小，受大气降水及上游来水补给，水位受降雨影响，以倾向下游的方式汇入涪江下游。</w:t>
      </w:r>
    </w:p>
    <w:p>
      <w:pPr>
        <w:numPr>
          <w:ilvl w:val="0"/>
          <w:numId w:val="1"/>
        </w:numPr>
        <w:spacing w:line="360" w:lineRule="auto"/>
        <w:ind w:left="0" w:leftChars="0" w:firstLine="420" w:firstLineChars="200"/>
        <w:outlineLvl w:val="0"/>
        <w:rPr>
          <w:rFonts w:hint="eastAsia"/>
          <w:bCs/>
          <w:sz w:val="21"/>
          <w:szCs w:val="21"/>
        </w:rPr>
      </w:pPr>
      <w:r>
        <w:rPr>
          <w:rFonts w:hint="eastAsia"/>
          <w:bCs/>
          <w:sz w:val="21"/>
          <w:szCs w:val="21"/>
        </w:rPr>
        <w:t>地</w:t>
      </w:r>
      <w:r>
        <w:rPr>
          <w:rFonts w:hint="eastAsia"/>
          <w:bCs/>
          <w:sz w:val="21"/>
          <w:szCs w:val="21"/>
          <w:lang w:eastAsia="zh-CN"/>
        </w:rPr>
        <w:t>下</w:t>
      </w:r>
      <w:r>
        <w:rPr>
          <w:rFonts w:hint="eastAsia"/>
          <w:bCs/>
          <w:sz w:val="21"/>
          <w:szCs w:val="21"/>
        </w:rPr>
        <w:t>水</w:t>
      </w:r>
    </w:p>
    <w:p>
      <w:pPr>
        <w:numPr>
          <w:ilvl w:val="0"/>
          <w:numId w:val="0"/>
        </w:numPr>
        <w:spacing w:line="360" w:lineRule="auto"/>
        <w:ind w:firstLine="420" w:firstLineChars="200"/>
        <w:outlineLvl w:val="0"/>
        <w:rPr>
          <w:rFonts w:hint="eastAsia"/>
          <w:bCs/>
          <w:sz w:val="21"/>
          <w:szCs w:val="21"/>
        </w:rPr>
      </w:pPr>
      <w:r>
        <w:rPr>
          <w:rFonts w:hint="eastAsia"/>
          <w:bCs/>
          <w:sz w:val="21"/>
          <w:szCs w:val="21"/>
        </w:rPr>
        <w:t>工作区内地下水主要类型为基岩裂隙水。主要赋存于基岩裂隙中，裂隙水受岩性及构造控制，其埋藏、补给、运移、排泄条件复杂，主要通过大气降水下渗补给。本次勘察在勘探孔深度范围内未揭露地下水。据射洪县区域水文资料知，场区地下水枯、丰期水位变幅为2.0～3.0m。</w:t>
      </w:r>
    </w:p>
    <w:p>
      <w:pPr>
        <w:numPr>
          <w:ilvl w:val="0"/>
          <w:numId w:val="0"/>
        </w:numPr>
        <w:spacing w:line="360" w:lineRule="auto"/>
        <w:ind w:firstLine="420" w:firstLineChars="200"/>
        <w:outlineLvl w:val="0"/>
        <w:rPr>
          <w:rFonts w:hint="eastAsia"/>
          <w:bCs/>
          <w:sz w:val="21"/>
          <w:szCs w:val="21"/>
          <w:lang w:val="en-US" w:eastAsia="zh-CN"/>
        </w:rPr>
      </w:pPr>
      <w:r>
        <w:rPr>
          <w:rFonts w:hint="eastAsia"/>
          <w:bCs/>
          <w:sz w:val="21"/>
          <w:szCs w:val="21"/>
          <w:lang w:val="en-US" w:eastAsia="zh-CN"/>
        </w:rPr>
        <w:t>5、不良地质现象、特殊性岩土及不利埋藏物</w:t>
      </w:r>
    </w:p>
    <w:p>
      <w:pPr>
        <w:numPr>
          <w:ilvl w:val="0"/>
          <w:numId w:val="0"/>
        </w:numPr>
        <w:spacing w:line="360" w:lineRule="auto"/>
        <w:ind w:firstLine="420" w:firstLineChars="200"/>
        <w:outlineLvl w:val="0"/>
        <w:rPr>
          <w:rFonts w:hint="eastAsia"/>
          <w:bCs/>
          <w:sz w:val="21"/>
          <w:szCs w:val="21"/>
          <w:lang w:val="en-US" w:eastAsia="zh-CN"/>
        </w:rPr>
      </w:pPr>
      <w:r>
        <w:rPr>
          <w:rFonts w:hint="eastAsia"/>
          <w:bCs/>
          <w:sz w:val="21"/>
          <w:szCs w:val="21"/>
          <w:lang w:val="en-US" w:eastAsia="zh-CN"/>
        </w:rPr>
        <w:t>据勘察及工程地质测绘表明：工程区内无不良地质现象，其特殊性岩土主要为人工填筑土。</w:t>
      </w:r>
    </w:p>
    <w:p>
      <w:pPr>
        <w:numPr>
          <w:ilvl w:val="0"/>
          <w:numId w:val="0"/>
        </w:numPr>
        <w:spacing w:line="360" w:lineRule="auto"/>
        <w:outlineLvl w:val="0"/>
        <w:rPr>
          <w:rFonts w:hint="eastAsia"/>
          <w:b/>
          <w:sz w:val="21"/>
          <w:szCs w:val="21"/>
        </w:rPr>
      </w:pPr>
      <w:r>
        <w:rPr>
          <w:rFonts w:hint="eastAsia"/>
          <w:bCs/>
          <w:sz w:val="21"/>
          <w:szCs w:val="21"/>
          <w:lang w:val="en-US" w:eastAsia="zh-CN"/>
        </w:rPr>
        <w:t>人工填土层：主要为原路路基等，成分复杂、结构松散，且局部有架空现象，故开挖施工时宜对其进行清除处理。</w:t>
      </w:r>
    </w:p>
    <w:p>
      <w:pPr>
        <w:spacing w:line="360" w:lineRule="auto"/>
        <w:ind w:firstLine="421" w:firstLineChars="200"/>
        <w:rPr>
          <w:rFonts w:hint="eastAsia"/>
          <w:b/>
          <w:sz w:val="21"/>
          <w:szCs w:val="21"/>
        </w:rPr>
      </w:pPr>
      <w:r>
        <w:rPr>
          <w:rFonts w:hint="eastAsia"/>
          <w:b/>
          <w:sz w:val="21"/>
          <w:szCs w:val="21"/>
          <w:lang w:eastAsia="zh-CN"/>
        </w:rPr>
        <w:t>六</w:t>
      </w:r>
      <w:r>
        <w:rPr>
          <w:rFonts w:hint="eastAsia"/>
          <w:b/>
          <w:sz w:val="21"/>
          <w:szCs w:val="21"/>
        </w:rPr>
        <w:t>、排水体制、管道布置及管径</w:t>
      </w:r>
    </w:p>
    <w:p>
      <w:pPr>
        <w:pStyle w:val="66"/>
        <w:snapToGrid w:val="0"/>
        <w:spacing w:line="360" w:lineRule="auto"/>
        <w:ind w:firstLine="420" w:firstLineChars="200"/>
        <w:jc w:val="both"/>
        <w:rPr>
          <w:rFonts w:hint="eastAsia" w:ascii="Times New Roman" w:eastAsia="宋体" w:cs="Times New Roman"/>
          <w:color w:val="auto"/>
          <w:kern w:val="2"/>
          <w:sz w:val="21"/>
          <w:szCs w:val="21"/>
        </w:rPr>
      </w:pPr>
      <w:r>
        <w:rPr>
          <w:rFonts w:hint="eastAsia" w:ascii="Times New Roman" w:eastAsia="宋体" w:cs="Times New Roman"/>
          <w:color w:val="auto"/>
          <w:kern w:val="2"/>
          <w:sz w:val="21"/>
          <w:szCs w:val="21"/>
        </w:rPr>
        <w:t>1.本工程排水体制设计为雨、污分流制。</w:t>
      </w:r>
    </w:p>
    <w:p>
      <w:pPr>
        <w:pStyle w:val="66"/>
        <w:snapToGrid w:val="0"/>
        <w:spacing w:line="360" w:lineRule="auto"/>
        <w:ind w:firstLine="420" w:firstLineChars="200"/>
        <w:jc w:val="both"/>
        <w:rPr>
          <w:rFonts w:ascii="Times New Roman" w:eastAsia="宋体" w:cs="Times New Roman"/>
          <w:color w:val="auto"/>
          <w:kern w:val="2"/>
          <w:sz w:val="21"/>
          <w:szCs w:val="21"/>
        </w:rPr>
      </w:pPr>
      <w:r>
        <w:rPr>
          <w:rFonts w:hint="eastAsia" w:ascii="Times New Roman" w:eastAsia="宋体" w:cs="Times New Roman"/>
          <w:color w:val="auto"/>
          <w:kern w:val="2"/>
          <w:sz w:val="21"/>
          <w:szCs w:val="21"/>
        </w:rPr>
        <w:t>2.本项目污水根据实际</w:t>
      </w:r>
      <w:r>
        <w:rPr>
          <w:rFonts w:ascii="Times New Roman" w:eastAsia="宋体" w:cs="Times New Roman"/>
          <w:color w:val="auto"/>
          <w:kern w:val="2"/>
          <w:sz w:val="21"/>
          <w:szCs w:val="21"/>
        </w:rPr>
        <w:t>情况</w:t>
      </w:r>
      <w:r>
        <w:rPr>
          <w:rFonts w:hint="eastAsia" w:ascii="Times New Roman" w:eastAsia="宋体" w:cs="Times New Roman"/>
          <w:color w:val="auto"/>
          <w:kern w:val="2"/>
          <w:sz w:val="21"/>
          <w:szCs w:val="21"/>
        </w:rPr>
        <w:t>敷设</w:t>
      </w:r>
      <w:r>
        <w:rPr>
          <w:rFonts w:ascii="Times New Roman" w:eastAsia="宋体" w:cs="Times New Roman"/>
          <w:color w:val="auto"/>
          <w:kern w:val="2"/>
          <w:sz w:val="21"/>
          <w:szCs w:val="21"/>
        </w:rPr>
        <w:t>污水管线</w:t>
      </w:r>
      <w:r>
        <w:rPr>
          <w:rFonts w:hint="eastAsia" w:ascii="Times New Roman" w:eastAsia="宋体" w:cs="Times New Roman"/>
          <w:color w:val="auto"/>
          <w:kern w:val="2"/>
          <w:sz w:val="21"/>
          <w:szCs w:val="21"/>
        </w:rPr>
        <w:t>，主要收集道路及两侧地块污水。</w:t>
      </w:r>
    </w:p>
    <w:p>
      <w:pPr>
        <w:pStyle w:val="66"/>
        <w:snapToGrid w:val="0"/>
        <w:spacing w:line="360" w:lineRule="auto"/>
        <w:ind w:firstLine="420" w:firstLineChars="200"/>
        <w:jc w:val="both"/>
        <w:rPr>
          <w:rFonts w:hint="eastAsia" w:ascii="Times New Roman" w:eastAsia="宋体" w:cs="Times New Roman"/>
          <w:color w:val="auto"/>
          <w:kern w:val="2"/>
          <w:sz w:val="21"/>
          <w:szCs w:val="21"/>
          <w:lang w:val="en-US" w:eastAsia="zh-CN" w:bidi="ar-SA"/>
        </w:rPr>
      </w:pPr>
      <w:r>
        <w:rPr>
          <w:rFonts w:hint="eastAsia" w:ascii="Times New Roman" w:eastAsia="宋体" w:cs="Times New Roman"/>
          <w:color w:val="auto"/>
          <w:kern w:val="2"/>
          <w:sz w:val="21"/>
          <w:szCs w:val="21"/>
          <w:lang w:val="en-US" w:eastAsia="zh-CN" w:bidi="ar-SA"/>
        </w:rPr>
        <w:t>3.本次设计污水管线位于道路边线外侧1米位置。</w:t>
      </w:r>
    </w:p>
    <w:p>
      <w:pPr>
        <w:spacing w:line="360" w:lineRule="auto"/>
        <w:ind w:firstLine="420" w:firstLineChars="200"/>
        <w:rPr>
          <w:rFonts w:hint="eastAsia" w:ascii="Times New Roman" w:eastAsia="宋体" w:cs="Times New Roman"/>
          <w:color w:val="auto"/>
          <w:kern w:val="2"/>
          <w:sz w:val="21"/>
          <w:szCs w:val="21"/>
          <w:lang w:val="en-US" w:eastAsia="zh-CN" w:bidi="ar-SA"/>
        </w:rPr>
      </w:pPr>
      <w:r>
        <w:rPr>
          <w:rFonts w:hint="eastAsia" w:ascii="Times New Roman" w:eastAsia="宋体" w:cs="Times New Roman"/>
          <w:color w:val="auto"/>
          <w:kern w:val="2"/>
          <w:sz w:val="21"/>
          <w:szCs w:val="21"/>
          <w:lang w:val="en-US" w:eastAsia="zh-CN" w:bidi="ar-SA"/>
        </w:rPr>
        <w:t>污水管管径d400。</w:t>
      </w:r>
    </w:p>
    <w:p>
      <w:pPr>
        <w:spacing w:line="360" w:lineRule="auto"/>
        <w:ind w:firstLine="421" w:firstLineChars="200"/>
        <w:rPr>
          <w:rFonts w:hint="eastAsia"/>
          <w:b/>
          <w:sz w:val="21"/>
          <w:szCs w:val="21"/>
        </w:rPr>
      </w:pPr>
      <w:r>
        <w:rPr>
          <w:rFonts w:hint="eastAsia"/>
          <w:b/>
          <w:sz w:val="21"/>
          <w:szCs w:val="21"/>
          <w:lang w:eastAsia="zh-CN"/>
        </w:rPr>
        <w:t>七</w:t>
      </w:r>
      <w:r>
        <w:rPr>
          <w:rFonts w:hint="eastAsia"/>
          <w:b/>
          <w:sz w:val="21"/>
          <w:szCs w:val="21"/>
        </w:rPr>
        <w:t>、管材</w:t>
      </w:r>
    </w:p>
    <w:p>
      <w:pPr>
        <w:spacing w:line="360" w:lineRule="auto"/>
        <w:ind w:firstLine="420" w:firstLineChars="200"/>
        <w:rPr>
          <w:rFonts w:hint="eastAsia"/>
          <w:sz w:val="21"/>
          <w:szCs w:val="21"/>
        </w:rPr>
      </w:pPr>
      <w:r>
        <w:rPr>
          <w:rFonts w:hint="eastAsia" w:ascii="Times New Roman" w:eastAsia="宋体" w:cs="Times New Roman"/>
          <w:color w:val="auto"/>
          <w:kern w:val="2"/>
          <w:sz w:val="21"/>
          <w:szCs w:val="21"/>
          <w:lang w:val="en-US" w:eastAsia="zh-CN" w:bidi="ar-SA"/>
        </w:rPr>
        <w:t>排水管道可以采用的管材很多,</w:t>
      </w:r>
      <w:r>
        <w:rPr>
          <w:rFonts w:hint="eastAsia"/>
          <w:sz w:val="21"/>
          <w:szCs w:val="21"/>
        </w:rPr>
        <w:t>根据技术经济方面以及管道覆土厚度的考虑,本工程选用Ⅱ级承插式钢筋混凝土排水管，管线过河段</w:t>
      </w:r>
      <w:r>
        <w:rPr>
          <w:sz w:val="21"/>
          <w:szCs w:val="21"/>
        </w:rPr>
        <w:t>采用无缝钢管</w:t>
      </w:r>
      <w:r>
        <w:rPr>
          <w:rFonts w:hint="eastAsia"/>
          <w:sz w:val="21"/>
          <w:szCs w:val="21"/>
        </w:rPr>
        <w:t>。</w:t>
      </w:r>
    </w:p>
    <w:p>
      <w:pPr>
        <w:spacing w:before="156" w:beforeLines="50" w:line="360" w:lineRule="auto"/>
        <w:ind w:firstLine="421" w:firstLineChars="200"/>
        <w:outlineLvl w:val="0"/>
        <w:rPr>
          <w:rFonts w:hint="eastAsia"/>
          <w:b/>
          <w:sz w:val="21"/>
          <w:szCs w:val="21"/>
        </w:rPr>
      </w:pPr>
      <w:r>
        <w:rPr>
          <w:rFonts w:hint="eastAsia"/>
          <w:b/>
          <w:sz w:val="21"/>
          <w:szCs w:val="21"/>
          <w:lang w:eastAsia="zh-CN"/>
        </w:rPr>
        <w:t>八</w:t>
      </w:r>
      <w:r>
        <w:rPr>
          <w:rFonts w:hint="eastAsia"/>
          <w:b/>
          <w:sz w:val="21"/>
          <w:szCs w:val="21"/>
        </w:rPr>
        <w:t>、管道基础</w:t>
      </w:r>
    </w:p>
    <w:p>
      <w:pPr>
        <w:spacing w:line="360" w:lineRule="auto"/>
        <w:ind w:firstLine="420" w:firstLineChars="200"/>
        <w:rPr>
          <w:rFonts w:hint="eastAsia"/>
          <w:sz w:val="21"/>
          <w:szCs w:val="21"/>
        </w:rPr>
      </w:pPr>
      <w:r>
        <w:rPr>
          <w:rFonts w:hint="eastAsia"/>
          <w:sz w:val="21"/>
          <w:szCs w:val="21"/>
        </w:rPr>
        <w:t>本次设计均采用Ⅱ级承插式钢筋混凝土排水管，1</w:t>
      </w:r>
      <w:r>
        <w:rPr>
          <w:rFonts w:hint="eastAsia"/>
          <w:sz w:val="21"/>
          <w:szCs w:val="21"/>
          <w:lang w:val="en-US" w:eastAsia="zh-CN"/>
        </w:rPr>
        <w:t>20</w:t>
      </w:r>
      <w:r>
        <w:rPr>
          <w:rFonts w:hint="eastAsia"/>
          <w:sz w:val="21"/>
          <w:szCs w:val="21"/>
        </w:rPr>
        <w:t>度</w:t>
      </w:r>
      <w:r>
        <w:rPr>
          <w:rFonts w:hint="eastAsia"/>
          <w:sz w:val="21"/>
          <w:szCs w:val="21"/>
          <w:lang w:eastAsia="zh-CN"/>
        </w:rPr>
        <w:t>混凝土</w:t>
      </w:r>
      <w:r>
        <w:rPr>
          <w:rFonts w:hint="eastAsia"/>
          <w:sz w:val="21"/>
          <w:szCs w:val="21"/>
        </w:rPr>
        <w:t>基础，作法见国标图集06MS201。</w:t>
      </w:r>
    </w:p>
    <w:p>
      <w:pPr>
        <w:spacing w:line="360" w:lineRule="auto"/>
        <w:ind w:firstLine="420" w:firstLineChars="200"/>
        <w:rPr>
          <w:rFonts w:hint="eastAsia"/>
          <w:sz w:val="21"/>
          <w:szCs w:val="21"/>
        </w:rPr>
      </w:pPr>
      <w:r>
        <w:rPr>
          <w:rFonts w:hint="eastAsia"/>
          <w:sz w:val="21"/>
          <w:szCs w:val="21"/>
        </w:rPr>
        <w:t>其管材采用承插连接，</w:t>
      </w:r>
      <w:r>
        <w:rPr>
          <w:rFonts w:hint="eastAsia"/>
          <w:sz w:val="21"/>
          <w:szCs w:val="21"/>
          <w:lang w:val="en-US" w:eastAsia="zh-CN"/>
        </w:rPr>
        <w:t>1:2水泥砂浆捻缝（加抹三角灰）</w:t>
      </w:r>
      <w:r>
        <w:rPr>
          <w:rFonts w:hint="eastAsia"/>
          <w:sz w:val="21"/>
          <w:szCs w:val="21"/>
          <w:lang w:eastAsia="zh-CN"/>
        </w:rPr>
        <w:t>接口</w:t>
      </w:r>
      <w:r>
        <w:rPr>
          <w:rFonts w:hint="eastAsia"/>
          <w:sz w:val="21"/>
          <w:szCs w:val="21"/>
        </w:rPr>
        <w:t>。</w:t>
      </w:r>
    </w:p>
    <w:p>
      <w:pPr>
        <w:spacing w:before="156" w:beforeLines="50" w:line="360" w:lineRule="auto"/>
        <w:ind w:firstLine="420" w:firstLineChars="200"/>
        <w:outlineLvl w:val="0"/>
        <w:rPr>
          <w:rFonts w:hint="eastAsia"/>
          <w:sz w:val="21"/>
          <w:szCs w:val="21"/>
        </w:rPr>
      </w:pPr>
      <w:r>
        <w:rPr>
          <w:rFonts w:hint="eastAsia"/>
          <w:sz w:val="21"/>
          <w:szCs w:val="21"/>
        </w:rPr>
        <w:t>Ⅱ、Ⅲ级钢筋砼管，接口均采用</w:t>
      </w:r>
      <w:r>
        <w:rPr>
          <w:rFonts w:hint="eastAsia"/>
          <w:sz w:val="21"/>
          <w:szCs w:val="21"/>
          <w:lang w:eastAsia="zh-CN"/>
        </w:rPr>
        <w:t>刚性填料</w:t>
      </w:r>
      <w:r>
        <w:rPr>
          <w:rFonts w:hint="eastAsia"/>
          <w:sz w:val="21"/>
          <w:szCs w:val="21"/>
        </w:rPr>
        <w:t>，具体做法见图集06MS201-1。</w:t>
      </w:r>
    </w:p>
    <w:p>
      <w:pPr>
        <w:spacing w:before="156" w:beforeLines="50" w:line="360" w:lineRule="auto"/>
        <w:ind w:firstLine="421" w:firstLineChars="200"/>
        <w:outlineLvl w:val="0"/>
        <w:rPr>
          <w:rFonts w:hint="eastAsia"/>
          <w:sz w:val="21"/>
          <w:szCs w:val="21"/>
        </w:rPr>
      </w:pPr>
      <w:r>
        <w:rPr>
          <w:rFonts w:hint="eastAsia"/>
          <w:b/>
          <w:bCs/>
          <w:sz w:val="21"/>
          <w:szCs w:val="21"/>
        </w:rPr>
        <w:t>二级混凝土承插管覆土深度小于70cm时，采用C25混凝土满包基础,</w:t>
      </w:r>
      <w:r>
        <w:rPr>
          <w:rFonts w:hint="eastAsia"/>
          <w:sz w:val="21"/>
          <w:szCs w:val="21"/>
        </w:rPr>
        <w:t>地基承载力要求:R≥0.1Mpa。</w:t>
      </w:r>
    </w:p>
    <w:p>
      <w:pPr>
        <w:spacing w:before="156" w:beforeLines="50" w:line="360" w:lineRule="auto"/>
        <w:ind w:firstLine="420" w:firstLineChars="200"/>
        <w:outlineLvl w:val="0"/>
        <w:rPr>
          <w:rFonts w:hint="eastAsia"/>
          <w:sz w:val="21"/>
          <w:szCs w:val="21"/>
        </w:rPr>
      </w:pPr>
      <w:r>
        <w:rPr>
          <w:rFonts w:hint="eastAsia"/>
          <w:sz w:val="21"/>
          <w:szCs w:val="21"/>
        </w:rPr>
        <w:t>基础应夯实紧密，表面平整。管道接口部位基础应预留凹槽，以便接口操作，接口完成后，随即对凹槽用相同材料填筑密实，对于不能作管道持力层的填土地段和管道穿越低洼地带的回填地段，应按前述设计要求进行地基处理。</w:t>
      </w:r>
    </w:p>
    <w:p>
      <w:pPr>
        <w:spacing w:before="156" w:beforeLines="50" w:line="360" w:lineRule="auto"/>
        <w:ind w:firstLine="421" w:firstLineChars="200"/>
        <w:outlineLvl w:val="0"/>
        <w:rPr>
          <w:b/>
          <w:sz w:val="21"/>
          <w:szCs w:val="21"/>
        </w:rPr>
      </w:pPr>
      <w:r>
        <w:rPr>
          <w:b/>
          <w:sz w:val="21"/>
          <w:szCs w:val="21"/>
        </w:rPr>
        <w:t>十二、施工注意事项</w:t>
      </w:r>
    </w:p>
    <w:p>
      <w:pPr>
        <w:spacing w:line="360" w:lineRule="auto"/>
        <w:ind w:firstLine="420" w:firstLineChars="200"/>
        <w:rPr>
          <w:kern w:val="0"/>
          <w:sz w:val="21"/>
          <w:szCs w:val="21"/>
        </w:rPr>
      </w:pPr>
      <w:r>
        <w:rPr>
          <w:sz w:val="21"/>
          <w:szCs w:val="21"/>
        </w:rPr>
        <w:t>1．排水管道的平面位置、标高、坡度必须严格按设计图中规定执行。施工单位施工前应对排水接管点高程进行复核，施工范围内若遇其他管线，应及时与甲方联系，协同产权单位共同商定处理的方法。临时可采用撑、包、吊、顶等措施加以保护。若遇未知隐藏物或文物，应及时通知有关单位加以处理。</w:t>
      </w:r>
    </w:p>
    <w:p>
      <w:pPr>
        <w:spacing w:line="360" w:lineRule="auto"/>
        <w:ind w:firstLine="420" w:firstLineChars="200"/>
        <w:rPr>
          <w:sz w:val="21"/>
          <w:szCs w:val="21"/>
        </w:rPr>
      </w:pPr>
      <w:r>
        <w:rPr>
          <w:sz w:val="21"/>
          <w:szCs w:val="21"/>
        </w:rPr>
        <w:t>2．采用沟槽开挖施工方式，开挖的沟槽应按有关规范要求进行回填夯实。其压实度要求为：管道胸腔部分回填土最低压实度管侧部位为9</w:t>
      </w:r>
      <w:r>
        <w:rPr>
          <w:rFonts w:hint="eastAsia"/>
          <w:sz w:val="21"/>
          <w:szCs w:val="21"/>
          <w:lang w:val="en-US" w:eastAsia="zh-CN"/>
        </w:rPr>
        <w:t>5</w:t>
      </w:r>
      <w:r>
        <w:rPr>
          <w:sz w:val="21"/>
          <w:szCs w:val="21"/>
        </w:rPr>
        <w:t>%、管顶以上500mm内为8</w:t>
      </w:r>
      <w:r>
        <w:rPr>
          <w:rFonts w:hint="eastAsia"/>
          <w:sz w:val="21"/>
          <w:szCs w:val="21"/>
          <w:lang w:val="en-US" w:eastAsia="zh-CN"/>
        </w:rPr>
        <w:t>5</w:t>
      </w:r>
      <w:r>
        <w:rPr>
          <w:sz w:val="21"/>
          <w:szCs w:val="21"/>
        </w:rPr>
        <w:t>％（轻型击实标准），管顶500mm以上至道路路槽的回填土压实度按道路设计要求执行。具体详见《给水排水管道工程施工及验收规范》GB50268-2008中“4.4、4.5、4.6”相关内容。管道回填土应分层夯实，管道位于车行道下，沟槽回填宜先用中、粗砂将管底腋角部位填充密实后，再用中、粗砂分层回填到管顶以上500mm.。</w:t>
      </w:r>
    </w:p>
    <w:p>
      <w:pPr>
        <w:spacing w:line="360" w:lineRule="auto"/>
        <w:ind w:firstLine="420" w:firstLineChars="200"/>
        <w:rPr>
          <w:sz w:val="21"/>
          <w:szCs w:val="21"/>
        </w:rPr>
      </w:pPr>
      <w:r>
        <w:rPr>
          <w:sz w:val="21"/>
          <w:szCs w:val="21"/>
        </w:rPr>
        <w:t>3．可以根据现有污水管及规划污水管的支管接入需要适当调整管线上检查井的位置，但调整后的检查井间距应满足以下要求：</w:t>
      </w:r>
    </w:p>
    <w:p>
      <w:pPr>
        <w:spacing w:line="360" w:lineRule="auto"/>
        <w:ind w:firstLine="420" w:firstLineChars="200"/>
        <w:rPr>
          <w:sz w:val="21"/>
          <w:szCs w:val="21"/>
        </w:rPr>
      </w:pPr>
      <w:r>
        <w:rPr>
          <w:sz w:val="21"/>
          <w:szCs w:val="21"/>
        </w:rPr>
        <w:t>管径为200mm~400mm的，污水管最大间距40m，500mm~700mm的，污水管最大间距60m；</w:t>
      </w:r>
    </w:p>
    <w:p>
      <w:pPr>
        <w:spacing w:line="360" w:lineRule="auto"/>
        <w:ind w:firstLine="420" w:firstLineChars="200"/>
        <w:rPr>
          <w:sz w:val="21"/>
          <w:szCs w:val="21"/>
        </w:rPr>
      </w:pPr>
      <w:r>
        <w:rPr>
          <w:sz w:val="21"/>
          <w:szCs w:val="21"/>
        </w:rPr>
        <w:t>管径为800mm~1000mm的，污水管最大间距80m。</w:t>
      </w:r>
    </w:p>
    <w:p>
      <w:pPr>
        <w:spacing w:line="360" w:lineRule="auto"/>
        <w:ind w:firstLine="420" w:firstLineChars="200"/>
        <w:rPr>
          <w:sz w:val="21"/>
          <w:szCs w:val="21"/>
        </w:rPr>
      </w:pPr>
      <w:r>
        <w:rPr>
          <w:sz w:val="21"/>
          <w:szCs w:val="21"/>
        </w:rPr>
        <w:t>4．要注意区分现状雨、污水管，不要将雨水管接入污水管道内。</w:t>
      </w:r>
    </w:p>
    <w:p>
      <w:pPr>
        <w:spacing w:line="360" w:lineRule="auto"/>
        <w:ind w:firstLine="420" w:firstLineChars="200"/>
        <w:rPr>
          <w:sz w:val="21"/>
          <w:szCs w:val="21"/>
        </w:rPr>
      </w:pPr>
      <w:r>
        <w:rPr>
          <w:sz w:val="21"/>
          <w:szCs w:val="21"/>
        </w:rPr>
        <w:t>5．排水管道施工顺序宜先下游，后上游的原则进行。管道两侧应同时均匀回填，以免管道及构筑物发生位移。</w:t>
      </w:r>
    </w:p>
    <w:p>
      <w:pPr>
        <w:spacing w:line="360" w:lineRule="auto"/>
        <w:ind w:firstLine="420" w:firstLineChars="200"/>
        <w:rPr>
          <w:sz w:val="21"/>
          <w:szCs w:val="21"/>
        </w:rPr>
      </w:pPr>
      <w:r>
        <w:rPr>
          <w:sz w:val="21"/>
          <w:szCs w:val="21"/>
        </w:rPr>
        <w:t>6．各种管道相交时，若垂直距离不能满足规范要求时，管道须进行局部加强处理。</w:t>
      </w:r>
    </w:p>
    <w:p>
      <w:pPr>
        <w:spacing w:line="360" w:lineRule="auto"/>
        <w:ind w:firstLine="420" w:firstLineChars="200"/>
        <w:rPr>
          <w:sz w:val="21"/>
          <w:szCs w:val="21"/>
        </w:rPr>
      </w:pPr>
      <w:r>
        <w:rPr>
          <w:sz w:val="21"/>
          <w:szCs w:val="21"/>
        </w:rPr>
        <w:t>7．排水管道属于隐蔽工程，施工单位和有关管理部门应作好施工记录。</w:t>
      </w:r>
    </w:p>
    <w:p>
      <w:pPr>
        <w:spacing w:line="360" w:lineRule="auto"/>
        <w:ind w:firstLine="420" w:firstLineChars="200"/>
        <w:rPr>
          <w:sz w:val="21"/>
          <w:szCs w:val="21"/>
        </w:rPr>
      </w:pPr>
      <w:r>
        <w:rPr>
          <w:sz w:val="21"/>
          <w:szCs w:val="21"/>
        </w:rPr>
        <w:t>8．雨、污水管道及污水检查井按《给水排水工程施工及验收规范》的有关要求做闭水试验。雨水管道位于膨胀土层时，也应对管道及井做闭水试验。</w:t>
      </w:r>
    </w:p>
    <w:p>
      <w:pPr>
        <w:spacing w:line="360" w:lineRule="auto"/>
        <w:ind w:firstLine="420" w:firstLineChars="200"/>
        <w:rPr>
          <w:sz w:val="21"/>
          <w:szCs w:val="21"/>
        </w:rPr>
      </w:pPr>
      <w:r>
        <w:rPr>
          <w:sz w:val="21"/>
          <w:szCs w:val="21"/>
        </w:rPr>
        <w:t xml:space="preserve">9．部分现未发现的地下构筑物的拆迁工程量在施工时核定计算。    </w:t>
      </w:r>
    </w:p>
    <w:p>
      <w:pPr>
        <w:spacing w:line="360" w:lineRule="auto"/>
        <w:ind w:firstLine="420" w:firstLineChars="200"/>
        <w:rPr>
          <w:sz w:val="21"/>
          <w:szCs w:val="21"/>
        </w:rPr>
      </w:pPr>
      <w:r>
        <w:rPr>
          <w:sz w:val="21"/>
          <w:szCs w:val="21"/>
        </w:rPr>
        <w:t>10．污水管道施工时，尽量避开雨季，保证干槽施工。若汛期施工，应提前做好防雨、防雷、防触电、防坍塌及紧急遇大暴雨时的人员疏散和抢险预案及相关物资储备，做好边坡覆盖，防止雨水直接冲刷坡体，并及时启动临时排水措施，防止场地外客水入侵，同时做好槽底排水，防止雨洪浸泡槽底。</w:t>
      </w:r>
    </w:p>
    <w:p>
      <w:pPr>
        <w:spacing w:line="360" w:lineRule="auto"/>
        <w:ind w:firstLine="420" w:firstLineChars="200"/>
        <w:rPr>
          <w:sz w:val="21"/>
          <w:szCs w:val="21"/>
        </w:rPr>
      </w:pPr>
      <w:r>
        <w:rPr>
          <w:sz w:val="21"/>
          <w:szCs w:val="21"/>
        </w:rPr>
        <w:t>11．在施工开挖安装过程中，应在工作面设置安全保护栏和示警标志，入夜还要放足够数量的红灯，避免一切不安全事故的发生，以保证施工和交通安全。</w:t>
      </w:r>
    </w:p>
    <w:p>
      <w:pPr>
        <w:spacing w:line="600" w:lineRule="exact"/>
        <w:ind w:left="0" w:leftChars="0" w:firstLine="0" w:firstLineChars="0"/>
        <w:rPr>
          <w:rFonts w:hint="eastAsia"/>
          <w:sz w:val="21"/>
          <w:szCs w:val="21"/>
          <w:lang w:val="en-US" w:eastAsia="zh-CN"/>
        </w:rPr>
      </w:pPr>
      <w:r>
        <w:rPr>
          <w:rFonts w:hint="eastAsia"/>
          <w:sz w:val="21"/>
          <w:szCs w:val="21"/>
          <w:lang w:val="en-US" w:eastAsia="zh-CN"/>
        </w:rPr>
        <w:t>改建卫生间做法：根据用户原有房间砌筑180mm厚页岩砖隔墙，并预留800mmx2000mm门洞口。</w:t>
      </w:r>
    </w:p>
    <w:p>
      <w:pPr>
        <w:spacing w:line="360" w:lineRule="auto"/>
        <w:ind w:firstLine="420" w:firstLineChars="200"/>
        <w:rPr>
          <w:sz w:val="21"/>
          <w:szCs w:val="21"/>
        </w:rPr>
      </w:pPr>
      <w:r>
        <w:rPr>
          <w:sz w:val="21"/>
          <w:szCs w:val="21"/>
        </w:rPr>
        <w:t>12．同期施工的管道种类较多时，施工单位必须做好施工组织设计，先行施工重力流管道、埋设较深的管道、管径较大的管道。如有多家施工单位进行不同管道的施工，务必请建设单位做好管道施工顺序的管理工作，避免管道的碰撞引起经济损失。</w:t>
      </w:r>
    </w:p>
    <w:p>
      <w:pPr>
        <w:spacing w:before="156" w:beforeLines="50" w:line="360" w:lineRule="auto"/>
        <w:ind w:firstLine="421" w:firstLineChars="200"/>
        <w:outlineLvl w:val="0"/>
        <w:rPr>
          <w:b/>
          <w:sz w:val="21"/>
          <w:szCs w:val="21"/>
        </w:rPr>
      </w:pPr>
      <w:r>
        <w:rPr>
          <w:rFonts w:hint="eastAsia"/>
          <w:b/>
          <w:sz w:val="21"/>
          <w:szCs w:val="21"/>
          <w:lang w:eastAsia="zh-CN"/>
        </w:rPr>
        <w:t>九</w:t>
      </w:r>
      <w:r>
        <w:rPr>
          <w:b/>
          <w:sz w:val="21"/>
          <w:szCs w:val="21"/>
        </w:rPr>
        <w:t>、附属构筑物</w:t>
      </w:r>
    </w:p>
    <w:p>
      <w:pPr>
        <w:spacing w:line="360" w:lineRule="auto"/>
        <w:ind w:firstLine="421" w:firstLineChars="200"/>
        <w:jc w:val="left"/>
        <w:rPr>
          <w:b/>
          <w:sz w:val="21"/>
          <w:szCs w:val="21"/>
        </w:rPr>
      </w:pPr>
      <w:r>
        <w:rPr>
          <w:b/>
          <w:sz w:val="21"/>
          <w:szCs w:val="21"/>
        </w:rPr>
        <w:t>(1)污水检查井</w:t>
      </w:r>
    </w:p>
    <w:p>
      <w:pPr>
        <w:spacing w:line="360" w:lineRule="auto"/>
        <w:ind w:firstLine="420" w:firstLineChars="200"/>
        <w:rPr>
          <w:sz w:val="21"/>
          <w:szCs w:val="21"/>
        </w:rPr>
      </w:pPr>
      <w:r>
        <w:rPr>
          <w:sz w:val="21"/>
          <w:szCs w:val="21"/>
        </w:rPr>
        <w:t>1</w:t>
      </w:r>
      <w:r>
        <w:rPr>
          <w:rFonts w:hint="eastAsia"/>
          <w:sz w:val="21"/>
          <w:szCs w:val="21"/>
        </w:rPr>
        <w:t>)污水检查井均采用钢筋混凝土检查井。检查井的位置，应设在管道交汇处、转弯处、管径或坡度改变处、跌水处以及直线管段上每隔一定距离处。污水检查井设置距离取在规定范围内</w:t>
      </w:r>
      <w:r>
        <w:rPr>
          <w:sz w:val="21"/>
          <w:szCs w:val="21"/>
        </w:rPr>
        <w:t>的较大值，以减少道路的井量。</w:t>
      </w:r>
    </w:p>
    <w:p>
      <w:pPr>
        <w:spacing w:line="360" w:lineRule="auto"/>
        <w:ind w:firstLine="420" w:firstLineChars="200"/>
        <w:jc w:val="center"/>
        <w:rPr>
          <w:sz w:val="21"/>
          <w:szCs w:val="21"/>
        </w:rPr>
      </w:pPr>
      <w:r>
        <w:rPr>
          <w:sz w:val="21"/>
          <w:szCs w:val="21"/>
        </w:rPr>
        <w:t>检查井最大间距</w:t>
      </w:r>
    </w:p>
    <w:tbl>
      <w:tblPr>
        <w:tblStyle w:val="21"/>
        <w:tblW w:w="8849" w:type="dxa"/>
        <w:tblInd w:w="81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356"/>
        <w:gridCol w:w="2120"/>
        <w:gridCol w:w="337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 w:hRule="atLeast"/>
          <w:tblHeader/>
        </w:trPr>
        <w:tc>
          <w:tcPr>
            <w:tcW w:w="3356" w:type="dxa"/>
            <w:vMerge w:val="restart"/>
            <w:shd w:val="clear" w:color="auto" w:fill="F3F3F3"/>
            <w:noWrap w:val="0"/>
            <w:vAlign w:val="center"/>
          </w:tcPr>
          <w:p>
            <w:pPr>
              <w:spacing w:line="360" w:lineRule="auto"/>
              <w:rPr>
                <w:sz w:val="21"/>
                <w:szCs w:val="21"/>
              </w:rPr>
            </w:pPr>
            <w:r>
              <w:rPr>
                <w:sz w:val="21"/>
                <w:szCs w:val="21"/>
              </w:rPr>
              <w:t>管径或暗渠净高（mm）</w:t>
            </w:r>
          </w:p>
        </w:tc>
        <w:tc>
          <w:tcPr>
            <w:tcW w:w="5493" w:type="dxa"/>
            <w:gridSpan w:val="2"/>
            <w:shd w:val="clear" w:color="auto" w:fill="F3F3F3"/>
            <w:noWrap w:val="0"/>
            <w:vAlign w:val="center"/>
          </w:tcPr>
          <w:p>
            <w:pPr>
              <w:spacing w:line="360" w:lineRule="auto"/>
              <w:ind w:firstLine="420" w:firstLineChars="200"/>
              <w:jc w:val="center"/>
              <w:rPr>
                <w:sz w:val="21"/>
                <w:szCs w:val="21"/>
              </w:rPr>
            </w:pPr>
            <w:r>
              <w:rPr>
                <w:sz w:val="21"/>
                <w:szCs w:val="21"/>
              </w:rPr>
              <w:t>最大间距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blHeader/>
        </w:trPr>
        <w:tc>
          <w:tcPr>
            <w:tcW w:w="3356" w:type="dxa"/>
            <w:vMerge w:val="continue"/>
            <w:shd w:val="clear" w:color="auto" w:fill="auto"/>
            <w:noWrap w:val="0"/>
            <w:vAlign w:val="center"/>
          </w:tcPr>
          <w:p>
            <w:pPr>
              <w:spacing w:line="360" w:lineRule="auto"/>
              <w:ind w:firstLine="420" w:firstLineChars="200"/>
              <w:rPr>
                <w:sz w:val="21"/>
                <w:szCs w:val="21"/>
              </w:rPr>
            </w:pPr>
          </w:p>
        </w:tc>
        <w:tc>
          <w:tcPr>
            <w:tcW w:w="2120" w:type="dxa"/>
            <w:shd w:val="clear" w:color="auto" w:fill="F3F3F3"/>
            <w:noWrap w:val="0"/>
            <w:vAlign w:val="center"/>
          </w:tcPr>
          <w:p>
            <w:pPr>
              <w:spacing w:line="360" w:lineRule="auto"/>
              <w:ind w:firstLine="420" w:firstLineChars="200"/>
              <w:rPr>
                <w:sz w:val="21"/>
                <w:szCs w:val="21"/>
              </w:rPr>
            </w:pPr>
            <w:r>
              <w:rPr>
                <w:sz w:val="21"/>
                <w:szCs w:val="21"/>
              </w:rPr>
              <w:t>污水管道</w:t>
            </w:r>
          </w:p>
        </w:tc>
        <w:tc>
          <w:tcPr>
            <w:tcW w:w="3373" w:type="dxa"/>
            <w:shd w:val="clear" w:color="auto" w:fill="F3F3F3"/>
            <w:noWrap w:val="0"/>
            <w:vAlign w:val="center"/>
          </w:tcPr>
          <w:p>
            <w:pPr>
              <w:spacing w:line="360" w:lineRule="auto"/>
              <w:ind w:firstLine="420" w:firstLineChars="200"/>
              <w:rPr>
                <w:sz w:val="21"/>
                <w:szCs w:val="21"/>
              </w:rPr>
            </w:pPr>
            <w:r>
              <w:rPr>
                <w:sz w:val="21"/>
                <w:szCs w:val="21"/>
              </w:rPr>
              <w:t>雨水（合流）管道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 w:hRule="atLeast"/>
        </w:trPr>
        <w:tc>
          <w:tcPr>
            <w:tcW w:w="3356" w:type="dxa"/>
            <w:noWrap w:val="0"/>
            <w:vAlign w:val="center"/>
          </w:tcPr>
          <w:p>
            <w:pPr>
              <w:spacing w:line="360" w:lineRule="auto"/>
              <w:ind w:firstLine="420" w:firstLineChars="200"/>
              <w:rPr>
                <w:sz w:val="21"/>
                <w:szCs w:val="21"/>
              </w:rPr>
            </w:pPr>
            <w:r>
              <w:rPr>
                <w:sz w:val="21"/>
                <w:szCs w:val="21"/>
              </w:rPr>
              <w:t>200～400</w:t>
            </w:r>
          </w:p>
        </w:tc>
        <w:tc>
          <w:tcPr>
            <w:tcW w:w="2120" w:type="dxa"/>
            <w:noWrap w:val="0"/>
            <w:vAlign w:val="center"/>
          </w:tcPr>
          <w:p>
            <w:pPr>
              <w:spacing w:line="360" w:lineRule="auto"/>
              <w:ind w:firstLine="420" w:firstLineChars="200"/>
              <w:rPr>
                <w:sz w:val="21"/>
                <w:szCs w:val="21"/>
              </w:rPr>
            </w:pPr>
            <w:r>
              <w:rPr>
                <w:sz w:val="21"/>
                <w:szCs w:val="21"/>
              </w:rPr>
              <w:t>40</w:t>
            </w:r>
          </w:p>
        </w:tc>
        <w:tc>
          <w:tcPr>
            <w:tcW w:w="3373" w:type="dxa"/>
            <w:noWrap w:val="0"/>
            <w:vAlign w:val="center"/>
          </w:tcPr>
          <w:p>
            <w:pPr>
              <w:spacing w:line="360" w:lineRule="auto"/>
              <w:ind w:firstLine="420" w:firstLineChars="200"/>
              <w:rPr>
                <w:sz w:val="21"/>
                <w:szCs w:val="21"/>
              </w:rPr>
            </w:pPr>
            <w:r>
              <w:rPr>
                <w:sz w:val="21"/>
                <w:szCs w:val="21"/>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 w:hRule="atLeast"/>
        </w:trPr>
        <w:tc>
          <w:tcPr>
            <w:tcW w:w="3356" w:type="dxa"/>
            <w:noWrap w:val="0"/>
            <w:vAlign w:val="center"/>
          </w:tcPr>
          <w:p>
            <w:pPr>
              <w:spacing w:line="360" w:lineRule="auto"/>
              <w:ind w:firstLine="420" w:firstLineChars="200"/>
              <w:rPr>
                <w:sz w:val="21"/>
                <w:szCs w:val="21"/>
              </w:rPr>
            </w:pPr>
            <w:r>
              <w:rPr>
                <w:sz w:val="21"/>
                <w:szCs w:val="21"/>
              </w:rPr>
              <w:t>500～700</w:t>
            </w:r>
          </w:p>
        </w:tc>
        <w:tc>
          <w:tcPr>
            <w:tcW w:w="2120" w:type="dxa"/>
            <w:noWrap w:val="0"/>
            <w:vAlign w:val="center"/>
          </w:tcPr>
          <w:p>
            <w:pPr>
              <w:spacing w:line="360" w:lineRule="auto"/>
              <w:ind w:firstLine="420" w:firstLineChars="200"/>
              <w:rPr>
                <w:sz w:val="21"/>
                <w:szCs w:val="21"/>
              </w:rPr>
            </w:pPr>
            <w:r>
              <w:rPr>
                <w:sz w:val="21"/>
                <w:szCs w:val="21"/>
              </w:rPr>
              <w:t>60</w:t>
            </w:r>
          </w:p>
        </w:tc>
        <w:tc>
          <w:tcPr>
            <w:tcW w:w="3373" w:type="dxa"/>
            <w:noWrap w:val="0"/>
            <w:vAlign w:val="center"/>
          </w:tcPr>
          <w:p>
            <w:pPr>
              <w:spacing w:line="360" w:lineRule="auto"/>
              <w:ind w:firstLine="420" w:firstLineChars="200"/>
              <w:rPr>
                <w:sz w:val="21"/>
                <w:szCs w:val="21"/>
              </w:rPr>
            </w:pPr>
            <w:r>
              <w:rPr>
                <w:sz w:val="21"/>
                <w:szCs w:val="21"/>
              </w:rPr>
              <w:t>70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 w:hRule="atLeast"/>
        </w:trPr>
        <w:tc>
          <w:tcPr>
            <w:tcW w:w="3356" w:type="dxa"/>
            <w:noWrap w:val="0"/>
            <w:vAlign w:val="center"/>
          </w:tcPr>
          <w:p>
            <w:pPr>
              <w:spacing w:line="360" w:lineRule="auto"/>
              <w:ind w:firstLine="420" w:firstLineChars="200"/>
              <w:rPr>
                <w:sz w:val="21"/>
                <w:szCs w:val="21"/>
              </w:rPr>
            </w:pPr>
            <w:r>
              <w:rPr>
                <w:sz w:val="21"/>
                <w:szCs w:val="21"/>
              </w:rPr>
              <w:t>800～1000</w:t>
            </w:r>
          </w:p>
        </w:tc>
        <w:tc>
          <w:tcPr>
            <w:tcW w:w="2120" w:type="dxa"/>
            <w:noWrap w:val="0"/>
            <w:vAlign w:val="center"/>
          </w:tcPr>
          <w:p>
            <w:pPr>
              <w:spacing w:line="360" w:lineRule="auto"/>
              <w:ind w:firstLine="420" w:firstLineChars="200"/>
              <w:rPr>
                <w:sz w:val="21"/>
                <w:szCs w:val="21"/>
              </w:rPr>
            </w:pPr>
            <w:r>
              <w:rPr>
                <w:sz w:val="21"/>
                <w:szCs w:val="21"/>
              </w:rPr>
              <w:t>80</w:t>
            </w:r>
          </w:p>
        </w:tc>
        <w:tc>
          <w:tcPr>
            <w:tcW w:w="3373" w:type="dxa"/>
            <w:noWrap w:val="0"/>
            <w:vAlign w:val="center"/>
          </w:tcPr>
          <w:p>
            <w:pPr>
              <w:spacing w:line="360" w:lineRule="auto"/>
              <w:ind w:firstLine="420" w:firstLineChars="200"/>
              <w:rPr>
                <w:sz w:val="21"/>
                <w:szCs w:val="21"/>
              </w:rPr>
            </w:pPr>
            <w:r>
              <w:rPr>
                <w:sz w:val="21"/>
                <w:szCs w:val="21"/>
              </w:rPr>
              <w:t>90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 w:hRule="atLeast"/>
        </w:trPr>
        <w:tc>
          <w:tcPr>
            <w:tcW w:w="3356" w:type="dxa"/>
            <w:noWrap w:val="0"/>
            <w:vAlign w:val="center"/>
          </w:tcPr>
          <w:p>
            <w:pPr>
              <w:spacing w:line="360" w:lineRule="auto"/>
              <w:ind w:firstLine="420" w:firstLineChars="200"/>
              <w:rPr>
                <w:sz w:val="21"/>
                <w:szCs w:val="21"/>
              </w:rPr>
            </w:pPr>
            <w:r>
              <w:rPr>
                <w:sz w:val="21"/>
                <w:szCs w:val="21"/>
              </w:rPr>
              <w:t>1100～1500</w:t>
            </w:r>
          </w:p>
        </w:tc>
        <w:tc>
          <w:tcPr>
            <w:tcW w:w="2120" w:type="dxa"/>
            <w:noWrap w:val="0"/>
            <w:vAlign w:val="center"/>
          </w:tcPr>
          <w:p>
            <w:pPr>
              <w:spacing w:line="360" w:lineRule="auto"/>
              <w:ind w:firstLine="420" w:firstLineChars="200"/>
              <w:rPr>
                <w:sz w:val="21"/>
                <w:szCs w:val="21"/>
              </w:rPr>
            </w:pPr>
            <w:r>
              <w:rPr>
                <w:sz w:val="21"/>
                <w:szCs w:val="21"/>
              </w:rPr>
              <w:t>100</w:t>
            </w:r>
          </w:p>
        </w:tc>
        <w:tc>
          <w:tcPr>
            <w:tcW w:w="3373" w:type="dxa"/>
            <w:noWrap w:val="0"/>
            <w:vAlign w:val="center"/>
          </w:tcPr>
          <w:p>
            <w:pPr>
              <w:spacing w:line="360" w:lineRule="auto"/>
              <w:ind w:firstLine="420" w:firstLineChars="200"/>
              <w:rPr>
                <w:sz w:val="21"/>
                <w:szCs w:val="21"/>
              </w:rPr>
            </w:pPr>
            <w:r>
              <w:rPr>
                <w:sz w:val="21"/>
                <w:szCs w:val="21"/>
              </w:rPr>
              <w:t>120</w:t>
            </w:r>
          </w:p>
        </w:tc>
      </w:tr>
    </w:tbl>
    <w:p>
      <w:pPr>
        <w:spacing w:line="360" w:lineRule="auto"/>
        <w:ind w:firstLine="420" w:firstLineChars="200"/>
        <w:rPr>
          <w:sz w:val="21"/>
          <w:szCs w:val="21"/>
        </w:rPr>
      </w:pPr>
      <w:r>
        <w:rPr>
          <w:sz w:val="21"/>
          <w:szCs w:val="21"/>
        </w:rPr>
        <w:t>2）污水检查井均采用钢筋砼检查井，采用成品井，按国家标准图集06MS201选型。检查井基础厚度不小于20cm，采用C15砼，</w:t>
      </w:r>
      <w:r>
        <w:rPr>
          <w:b/>
          <w:sz w:val="21"/>
          <w:szCs w:val="21"/>
        </w:rPr>
        <w:t>图集上井墙及底板混凝土强度为C30，HPB235钢筋变为HRB300,HRB300钢筋变为HRB400</w:t>
      </w:r>
      <w:r>
        <w:rPr>
          <w:sz w:val="21"/>
          <w:szCs w:val="21"/>
        </w:rPr>
        <w:t>。井周</w:t>
      </w:r>
      <w:r>
        <w:rPr>
          <w:rFonts w:hint="eastAsia"/>
          <w:sz w:val="21"/>
          <w:szCs w:val="21"/>
        </w:rPr>
        <w:t>80</w:t>
      </w:r>
      <w:r>
        <w:rPr>
          <w:sz w:val="21"/>
          <w:szCs w:val="21"/>
        </w:rPr>
        <w:t>cm范围内采用5%水稳加强，自井底至井顶。</w:t>
      </w:r>
    </w:p>
    <w:p>
      <w:pPr>
        <w:spacing w:line="360" w:lineRule="auto"/>
        <w:ind w:firstLine="420" w:firstLineChars="200"/>
        <w:rPr>
          <w:rFonts w:hint="eastAsia"/>
          <w:sz w:val="21"/>
          <w:szCs w:val="21"/>
        </w:rPr>
      </w:pPr>
      <w:r>
        <w:rPr>
          <w:rFonts w:hint="eastAsia"/>
          <w:sz w:val="21"/>
          <w:szCs w:val="21"/>
        </w:rPr>
        <w:t>3）本次设计检查井位于道路边线外侧1米位置，检查井井室周围的回填，应与管道沟槽的回填同时进行；当不便同时进行时，应留台阶形接茬；井室周围回填压实时应沿井室中心对称进行；回填材料压实后应与井壁紧贴。</w:t>
      </w:r>
    </w:p>
    <w:p>
      <w:pPr>
        <w:spacing w:line="360" w:lineRule="auto"/>
        <w:ind w:firstLine="420" w:firstLineChars="200"/>
        <w:rPr>
          <w:rFonts w:hint="eastAsia"/>
          <w:sz w:val="21"/>
          <w:szCs w:val="21"/>
        </w:rPr>
      </w:pPr>
      <w:r>
        <w:rPr>
          <w:rFonts w:hint="eastAsia"/>
          <w:sz w:val="21"/>
          <w:szCs w:val="21"/>
        </w:rPr>
        <w:t>4）检查井一律按有地下水情况处理。井盖面应分别有“雨”、“污”标志，施工时不得错盖。</w:t>
      </w:r>
    </w:p>
    <w:p>
      <w:pPr>
        <w:spacing w:line="360" w:lineRule="auto"/>
        <w:ind w:firstLine="420" w:firstLineChars="200"/>
        <w:rPr>
          <w:rFonts w:hint="eastAsia"/>
          <w:sz w:val="21"/>
          <w:szCs w:val="21"/>
        </w:rPr>
      </w:pPr>
      <w:r>
        <w:rPr>
          <w:rFonts w:hint="eastAsia"/>
          <w:sz w:val="21"/>
          <w:szCs w:val="21"/>
        </w:rPr>
        <w:t>5）井盖面应与路面齐平，位于绿化带排水检查井井顶应高出地面15cm。</w:t>
      </w:r>
    </w:p>
    <w:p>
      <w:pPr>
        <w:spacing w:line="360" w:lineRule="auto"/>
        <w:ind w:firstLine="420" w:firstLineChars="200"/>
        <w:rPr>
          <w:rFonts w:hint="eastAsia"/>
          <w:sz w:val="21"/>
          <w:szCs w:val="21"/>
        </w:rPr>
      </w:pPr>
      <w:r>
        <w:rPr>
          <w:rFonts w:hint="eastAsia"/>
          <w:sz w:val="21"/>
          <w:szCs w:val="21"/>
        </w:rPr>
        <w:t>6）检查井井盖选用原则：绿化带、人行道等禁止机动车驶入的区域，选用A15级；人行道、非机动车道、小车停车场及地下停车场，选用B125级；住宅小区、背街小巷、仅有轻型机动车或小型式的区域，道路两边路缘石开始0.5m以内，选用C250级；城市主路、公路、高等级公路、高速公路等区域，选用D400级。,详见国标《检查井盖（GB/T23858-2009）》。</w:t>
      </w:r>
    </w:p>
    <w:p>
      <w:pPr>
        <w:spacing w:line="360" w:lineRule="auto"/>
        <w:ind w:firstLine="420" w:firstLineChars="200"/>
        <w:rPr>
          <w:rFonts w:hint="eastAsia"/>
          <w:sz w:val="21"/>
          <w:szCs w:val="21"/>
        </w:rPr>
      </w:pPr>
      <w:r>
        <w:rPr>
          <w:rFonts w:hint="eastAsia"/>
          <w:sz w:val="21"/>
          <w:szCs w:val="21"/>
        </w:rPr>
        <w:t>应采用合格的铸铁、聚合物基复合材料或钢纤维混凝土的检查井支座和井盖，支座和井盖应有防盗、防坠落、防位移、防噪声和易开启装置，并符合相关的技术标准和设计规范。检查井井盖在满足功能的前提下，尽可能采用规范允许范围内的最小井盖。凡采用手孔井可以达到检修等目的的，不得采用人孔井。本次设计检查井盖采用新型球墨铸铁井盖。</w:t>
      </w:r>
    </w:p>
    <w:p>
      <w:pPr>
        <w:spacing w:line="360" w:lineRule="auto"/>
        <w:ind w:firstLine="420" w:firstLineChars="200"/>
        <w:rPr>
          <w:rFonts w:hint="eastAsia"/>
          <w:sz w:val="21"/>
          <w:szCs w:val="21"/>
        </w:rPr>
      </w:pPr>
      <w:r>
        <w:rPr>
          <w:rFonts w:hint="eastAsia"/>
          <w:sz w:val="21"/>
          <w:szCs w:val="21"/>
        </w:rPr>
        <w:t>7）井盖应符合《检查井盖GB/T23858-2009》的要求。</w:t>
      </w:r>
    </w:p>
    <w:p>
      <w:pPr>
        <w:spacing w:line="360" w:lineRule="auto"/>
        <w:ind w:firstLine="420" w:firstLineChars="200"/>
        <w:rPr>
          <w:rFonts w:hint="eastAsia"/>
          <w:sz w:val="21"/>
          <w:szCs w:val="21"/>
        </w:rPr>
      </w:pPr>
      <w:r>
        <w:rPr>
          <w:rFonts w:hint="eastAsia"/>
          <w:sz w:val="21"/>
          <w:szCs w:val="21"/>
        </w:rPr>
        <w:t>8）检查井须安装防坠网。挂钩采用膨胀螺栓挂钩，安装于井筒内壁上，高度距路面20cm。防坠网承重不低于1000kg，网目不大于10cm。</w:t>
      </w:r>
    </w:p>
    <w:p>
      <w:pPr>
        <w:spacing w:line="360" w:lineRule="auto"/>
        <w:ind w:firstLine="421" w:firstLineChars="200"/>
        <w:jc w:val="left"/>
        <w:rPr>
          <w:b/>
          <w:sz w:val="21"/>
          <w:szCs w:val="21"/>
        </w:rPr>
      </w:pPr>
      <w:r>
        <w:rPr>
          <w:b/>
          <w:sz w:val="21"/>
          <w:szCs w:val="21"/>
        </w:rPr>
        <w:t xml:space="preserve"> (2)跌水井</w:t>
      </w:r>
    </w:p>
    <w:p>
      <w:pPr>
        <w:spacing w:line="360" w:lineRule="auto"/>
        <w:ind w:firstLine="420" w:firstLineChars="200"/>
        <w:rPr>
          <w:sz w:val="21"/>
          <w:szCs w:val="21"/>
        </w:rPr>
      </w:pPr>
      <w:r>
        <w:rPr>
          <w:sz w:val="21"/>
          <w:szCs w:val="21"/>
        </w:rPr>
        <w:t>当井内有支管接入，管顶与管顶的落差h≥1.2m时应设竖槽式跌水井，具体做法见06MS201-3。当井内有支管接入，管顶与管顶的落差0.5≤h＜1.2m时可用C30混凝土垫层加固，厚20cm，以防冲刷。</w:t>
      </w:r>
    </w:p>
    <w:p>
      <w:pPr>
        <w:spacing w:before="156" w:beforeLines="50" w:line="360" w:lineRule="auto"/>
        <w:ind w:firstLine="421" w:firstLineChars="200"/>
        <w:outlineLvl w:val="0"/>
        <w:rPr>
          <w:rFonts w:ascii="Times New Roman" w:hAnsi="Times New Roman" w:eastAsia="仿宋"/>
          <w:color w:val="000000"/>
          <w:sz w:val="21"/>
          <w:szCs w:val="21"/>
        </w:rPr>
      </w:pPr>
      <w:r>
        <w:rPr>
          <w:rFonts w:hint="eastAsia"/>
          <w:b/>
          <w:sz w:val="21"/>
          <w:szCs w:val="21"/>
          <w:lang w:eastAsia="zh-CN"/>
        </w:rPr>
        <w:t>十</w:t>
      </w:r>
      <w:r>
        <w:rPr>
          <w:rFonts w:hint="eastAsia"/>
          <w:b/>
          <w:sz w:val="21"/>
          <w:szCs w:val="21"/>
        </w:rPr>
        <w:t>、管道抗震设计</w:t>
      </w:r>
    </w:p>
    <w:p>
      <w:pPr>
        <w:spacing w:line="360" w:lineRule="auto"/>
        <w:ind w:firstLine="420" w:firstLineChars="200"/>
        <w:rPr>
          <w:rFonts w:hint="eastAsia"/>
          <w:sz w:val="21"/>
          <w:szCs w:val="21"/>
        </w:rPr>
      </w:pPr>
      <w:r>
        <w:rPr>
          <w:rFonts w:hint="eastAsia"/>
          <w:sz w:val="21"/>
          <w:szCs w:val="21"/>
        </w:rPr>
        <w:t>1、当地基受力层范围内存在液化土或软弱土层时，应采取措施防止地基承载力失效、震陷和不均匀沉降导致构筑物或管网结构损坏；</w:t>
      </w:r>
    </w:p>
    <w:p>
      <w:pPr>
        <w:spacing w:line="360" w:lineRule="auto"/>
        <w:ind w:firstLine="420" w:firstLineChars="200"/>
        <w:rPr>
          <w:rFonts w:hint="eastAsia"/>
          <w:sz w:val="21"/>
          <w:szCs w:val="21"/>
        </w:rPr>
      </w:pPr>
      <w:r>
        <w:rPr>
          <w:rFonts w:hint="eastAsia"/>
          <w:sz w:val="21"/>
          <w:szCs w:val="21"/>
        </w:rPr>
        <w:t>2、同一结构单元的构筑物不宜设置在性质截然不同的地基土上，当不可避免时应采取有效措施避免震陷导致结构损害，可加设垫褥等方法；</w:t>
      </w:r>
    </w:p>
    <w:p>
      <w:pPr>
        <w:spacing w:line="360" w:lineRule="auto"/>
        <w:ind w:firstLine="420" w:firstLineChars="200"/>
        <w:rPr>
          <w:rFonts w:hint="eastAsia"/>
          <w:sz w:val="21"/>
          <w:szCs w:val="21"/>
        </w:rPr>
      </w:pPr>
      <w:r>
        <w:rPr>
          <w:rFonts w:hint="eastAsia"/>
          <w:sz w:val="21"/>
          <w:szCs w:val="21"/>
        </w:rPr>
        <w:t>3、当构筑物基底受力层内存在液化、软弱黏性 或严重不均匀土层时，虽经地基处理，仍应采取措施加强基础的整体性和刚度；</w:t>
      </w:r>
    </w:p>
    <w:p>
      <w:pPr>
        <w:spacing w:line="360" w:lineRule="auto"/>
        <w:ind w:firstLine="420" w:firstLineChars="200"/>
        <w:rPr>
          <w:rFonts w:hint="eastAsia"/>
          <w:sz w:val="21"/>
          <w:szCs w:val="21"/>
        </w:rPr>
      </w:pPr>
      <w:r>
        <w:rPr>
          <w:rFonts w:hint="eastAsia"/>
          <w:sz w:val="21"/>
          <w:szCs w:val="21"/>
        </w:rPr>
        <w:t>4、给排水管道应选用柔性接口；</w:t>
      </w:r>
    </w:p>
    <w:p>
      <w:pPr>
        <w:spacing w:line="360" w:lineRule="auto"/>
        <w:ind w:firstLine="420" w:firstLineChars="200"/>
        <w:rPr>
          <w:rFonts w:hint="eastAsia"/>
          <w:sz w:val="21"/>
          <w:szCs w:val="21"/>
        </w:rPr>
      </w:pPr>
      <w:r>
        <w:rPr>
          <w:rFonts w:hint="eastAsia"/>
          <w:sz w:val="21"/>
          <w:szCs w:val="21"/>
        </w:rPr>
        <w:t xml:space="preserve">5、管道与构筑物、设备的连接处，应配置柔性构造措施； </w:t>
      </w:r>
    </w:p>
    <w:p>
      <w:pPr>
        <w:spacing w:before="156" w:beforeLines="50" w:line="360" w:lineRule="auto"/>
        <w:ind w:firstLine="421" w:firstLineChars="200"/>
        <w:outlineLvl w:val="0"/>
        <w:rPr>
          <w:rFonts w:hint="eastAsia"/>
          <w:b/>
          <w:sz w:val="21"/>
          <w:szCs w:val="21"/>
        </w:rPr>
      </w:pPr>
      <w:r>
        <w:rPr>
          <w:rFonts w:hint="eastAsia"/>
          <w:b/>
          <w:sz w:val="21"/>
          <w:szCs w:val="21"/>
          <w:lang w:eastAsia="zh-CN"/>
        </w:rPr>
        <w:t>十一</w:t>
      </w:r>
      <w:r>
        <w:rPr>
          <w:rFonts w:hint="eastAsia"/>
          <w:b/>
          <w:sz w:val="21"/>
          <w:szCs w:val="21"/>
        </w:rPr>
        <w:t>、管道施工排水</w:t>
      </w:r>
    </w:p>
    <w:p>
      <w:pPr>
        <w:spacing w:line="360" w:lineRule="auto"/>
        <w:ind w:firstLine="420" w:firstLineChars="200"/>
        <w:rPr>
          <w:rFonts w:hint="eastAsia"/>
          <w:sz w:val="21"/>
          <w:szCs w:val="21"/>
        </w:rPr>
      </w:pPr>
      <w:r>
        <w:rPr>
          <w:rFonts w:hint="eastAsia"/>
          <w:sz w:val="21"/>
          <w:szCs w:val="21"/>
        </w:rPr>
        <w:t>当管线埋设较深、超过地下孔隙潜水时，应考虑必要的降水措施和坑壁支护措施。</w:t>
      </w:r>
    </w:p>
    <w:p>
      <w:pPr>
        <w:spacing w:line="360" w:lineRule="auto"/>
        <w:ind w:firstLine="420" w:firstLineChars="200"/>
        <w:rPr>
          <w:rFonts w:hint="eastAsia"/>
          <w:sz w:val="21"/>
          <w:szCs w:val="21"/>
        </w:rPr>
      </w:pPr>
      <w:r>
        <w:rPr>
          <w:rFonts w:hint="eastAsia"/>
          <w:sz w:val="21"/>
          <w:szCs w:val="21"/>
        </w:rPr>
        <w:t>沟槽排水的方法可以分为两类，明排水法和人工降低地下水位法。</w:t>
      </w:r>
    </w:p>
    <w:p>
      <w:pPr>
        <w:spacing w:line="360" w:lineRule="auto"/>
        <w:ind w:firstLine="420" w:firstLineChars="200"/>
        <w:rPr>
          <w:rFonts w:hint="eastAsia"/>
          <w:sz w:val="21"/>
          <w:szCs w:val="21"/>
        </w:rPr>
      </w:pPr>
      <w:r>
        <w:rPr>
          <w:rFonts w:hint="eastAsia"/>
          <w:sz w:val="21"/>
          <w:szCs w:val="21"/>
        </w:rPr>
        <w:t>明排水法是在沟槽底面管道位置的一侧或两侧挖排水沟，再在沟槽以外挖一坑，深度为2倍潜水泵长度。地下水的沟槽边坡和底面流出后，经排水沟流至坑内，然后用潜水泵将水排掉。这种方法一般用在沟槽底面地下水稍多的情况。如果地下水稍小，可以利用管道对接的工作坑，将其深挖100～200mm或在管道侧面挖一个坑，渗出的地下水直接汇人坑中，待到坑中有了一定水后，用潜水泵抽走。</w:t>
      </w:r>
    </w:p>
    <w:p>
      <w:pPr>
        <w:spacing w:line="360" w:lineRule="auto"/>
        <w:ind w:firstLine="420" w:firstLineChars="200"/>
        <w:rPr>
          <w:rFonts w:hint="eastAsia"/>
          <w:sz w:val="21"/>
          <w:szCs w:val="21"/>
        </w:rPr>
      </w:pPr>
      <w:r>
        <w:rPr>
          <w:rFonts w:hint="eastAsia"/>
          <w:sz w:val="21"/>
          <w:szCs w:val="21"/>
        </w:rPr>
        <w:t>人工降低地下水位法，是在沟槽开挖前，事先在沟槽的一侧或两侧，往地下竖直打入一定数量的排水滤管，地下水渗入滤管，利用抽水设备将滤管中的水不断抽出，使地下水位降到沟槽底面以下。</w:t>
      </w:r>
    </w:p>
    <w:p>
      <w:pPr>
        <w:spacing w:line="360" w:lineRule="auto"/>
        <w:ind w:firstLine="420" w:firstLineChars="200"/>
        <w:rPr>
          <w:rFonts w:hint="eastAsia"/>
          <w:sz w:val="21"/>
          <w:szCs w:val="21"/>
        </w:rPr>
      </w:pPr>
      <w:r>
        <w:rPr>
          <w:rFonts w:hint="eastAsia"/>
          <w:sz w:val="21"/>
          <w:szCs w:val="21"/>
        </w:rPr>
        <w:t>人工降低地下水位法又可分为轻型井点法和管井法。</w:t>
      </w:r>
    </w:p>
    <w:p>
      <w:pPr>
        <w:spacing w:line="360" w:lineRule="auto"/>
        <w:ind w:firstLine="420" w:firstLineChars="200"/>
        <w:rPr>
          <w:rFonts w:hint="eastAsia"/>
          <w:sz w:val="21"/>
          <w:szCs w:val="21"/>
        </w:rPr>
      </w:pPr>
      <w:r>
        <w:rPr>
          <w:rFonts w:hint="eastAsia"/>
          <w:sz w:val="21"/>
          <w:szCs w:val="21"/>
        </w:rPr>
        <w:t>轻型井点法是沿沟槽的一侧或两侧，将一定数量较细(+50mm)的井点滤管间隔o．75～4m竖直打入透水层内，用弯管将各个滤管上端相连后，再与抽水总管(≠150mm)连接在一起，用抽水设备将水抽出，使沟槽内水位下降。</w:t>
      </w:r>
    </w:p>
    <w:p>
      <w:pPr>
        <w:spacing w:line="360" w:lineRule="auto"/>
        <w:ind w:firstLine="420" w:firstLineChars="200"/>
        <w:rPr>
          <w:rFonts w:hint="eastAsia"/>
          <w:sz w:val="21"/>
          <w:szCs w:val="21"/>
        </w:rPr>
      </w:pPr>
      <w:r>
        <w:rPr>
          <w:rFonts w:hint="eastAsia"/>
          <w:sz w:val="21"/>
          <w:szCs w:val="21"/>
        </w:rPr>
        <w:t>管井法是用直径较大（一般为300—500mm）的铸铁管或钢管的滤管，沿沟槽一侧间隔10—50m埋入蓄水层内，地下水渗入滤管达一定液位后，再分别设泵抽出。</w:t>
      </w:r>
    </w:p>
    <w:p>
      <w:pPr>
        <w:spacing w:line="360" w:lineRule="auto"/>
        <w:ind w:firstLine="420" w:firstLineChars="200"/>
        <w:rPr>
          <w:rFonts w:hint="eastAsia"/>
          <w:sz w:val="21"/>
          <w:szCs w:val="21"/>
        </w:rPr>
      </w:pPr>
      <w:r>
        <w:rPr>
          <w:rFonts w:hint="eastAsia"/>
          <w:sz w:val="21"/>
          <w:szCs w:val="21"/>
        </w:rPr>
        <w:t xml:space="preserve"> 本次工程选取排水方法，应根据施工项目现场情况来确定。</w:t>
      </w:r>
    </w:p>
    <w:p>
      <w:pPr>
        <w:spacing w:line="360" w:lineRule="auto"/>
        <w:ind w:firstLine="421" w:firstLineChars="200"/>
        <w:rPr>
          <w:b/>
          <w:sz w:val="21"/>
          <w:szCs w:val="21"/>
        </w:rPr>
      </w:pPr>
      <w:r>
        <w:rPr>
          <w:rFonts w:hint="eastAsia"/>
          <w:b/>
          <w:sz w:val="21"/>
          <w:szCs w:val="21"/>
          <w:lang w:eastAsia="zh-CN"/>
        </w:rPr>
        <w:t>十二</w:t>
      </w:r>
      <w:r>
        <w:rPr>
          <w:b/>
          <w:sz w:val="21"/>
          <w:szCs w:val="21"/>
        </w:rPr>
        <w:t>、管道施工</w:t>
      </w:r>
    </w:p>
    <w:p>
      <w:pPr>
        <w:spacing w:line="360" w:lineRule="auto"/>
        <w:ind w:firstLine="420" w:firstLineChars="200"/>
        <w:rPr>
          <w:sz w:val="21"/>
          <w:szCs w:val="21"/>
        </w:rPr>
      </w:pPr>
      <w:r>
        <w:rPr>
          <w:sz w:val="21"/>
          <w:szCs w:val="21"/>
        </w:rPr>
        <w:t>1）施工放线</w:t>
      </w:r>
    </w:p>
    <w:p>
      <w:pPr>
        <w:spacing w:line="360" w:lineRule="auto"/>
        <w:ind w:firstLine="420" w:firstLineChars="200"/>
        <w:rPr>
          <w:rFonts w:ascii="Times New Roman" w:hAnsi="Times New Roman" w:eastAsia="仿宋"/>
          <w:color w:val="000000"/>
          <w:sz w:val="21"/>
          <w:szCs w:val="21"/>
        </w:rPr>
      </w:pPr>
      <w:r>
        <w:rPr>
          <w:sz w:val="21"/>
          <w:szCs w:val="21"/>
        </w:rPr>
        <w:t>施工放线严格按施工图坐标放线，施工中如需变更，需及时与设计方联系。</w:t>
      </w:r>
    </w:p>
    <w:p>
      <w:pPr>
        <w:spacing w:line="360" w:lineRule="auto"/>
        <w:ind w:firstLine="420" w:firstLineChars="200"/>
        <w:rPr>
          <w:sz w:val="21"/>
          <w:szCs w:val="21"/>
        </w:rPr>
      </w:pPr>
      <w:r>
        <w:rPr>
          <w:sz w:val="21"/>
          <w:szCs w:val="21"/>
        </w:rPr>
        <w:t>2）沟槽开挖与回填</w:t>
      </w:r>
    </w:p>
    <w:p>
      <w:pPr>
        <w:spacing w:line="360" w:lineRule="auto"/>
        <w:ind w:firstLine="420" w:firstLineChars="200"/>
        <w:rPr>
          <w:sz w:val="21"/>
          <w:szCs w:val="21"/>
        </w:rPr>
      </w:pPr>
      <w:r>
        <w:rPr>
          <w:sz w:val="21"/>
          <w:szCs w:val="21"/>
        </w:rPr>
        <w:t>管道地基应为未扰动的原状土或经处理后回填密实的地基，Ⅱ级管材要求地基承载力特征值不小于0.1MPa，Ⅲ级管材要求地基承载力特征值不小于0.2MPa。</w:t>
      </w:r>
    </w:p>
    <w:p>
      <w:pPr>
        <w:spacing w:line="360" w:lineRule="auto"/>
        <w:ind w:firstLine="420" w:firstLineChars="200"/>
        <w:rPr>
          <w:sz w:val="21"/>
          <w:szCs w:val="21"/>
        </w:rPr>
      </w:pPr>
      <w:r>
        <w:rPr>
          <w:sz w:val="21"/>
          <w:szCs w:val="21"/>
        </w:rPr>
        <w:t>当管道埋深大于5m时，沟槽开挖须采用二次开挖方式，层间留宽度为2.0m。</w:t>
      </w:r>
    </w:p>
    <w:p>
      <w:pPr>
        <w:spacing w:line="360" w:lineRule="auto"/>
        <w:ind w:firstLine="420" w:firstLineChars="200"/>
        <w:rPr>
          <w:sz w:val="21"/>
          <w:szCs w:val="21"/>
        </w:rPr>
      </w:pPr>
      <w:r>
        <w:rPr>
          <w:sz w:val="21"/>
          <w:szCs w:val="21"/>
        </w:rPr>
        <w:t>沟槽开挖边坡系数n值按地勘单位提供的建议1:1.25采用，如果采用直壁开挖必须进行有效支护以保施工安全。沟槽开挖要求不扰动天然地基，当土方采用机械开挖时，应保留0.2m土用人工清槽，并不得超挖，如有超挖应进行地基处理即采用砾石、卵石作填料，分层夯实(最大粒径≤40mm)或压实(最大粒径≤200mm)至设计管底标高，要求压实度不小于95％；管基开挖如遇表土层、软塑粘土、软塑亚粘土，应全部清除软弱层，回填砾卵石并分层夯实至设计管底标高下100～150mm，要求压实度不小于95％。</w:t>
      </w:r>
    </w:p>
    <w:p>
      <w:pPr>
        <w:spacing w:line="360" w:lineRule="auto"/>
        <w:ind w:firstLine="420" w:firstLineChars="200"/>
        <w:rPr>
          <w:sz w:val="21"/>
          <w:szCs w:val="21"/>
        </w:rPr>
      </w:pPr>
      <w:r>
        <w:rPr>
          <w:sz w:val="21"/>
          <w:szCs w:val="21"/>
        </w:rPr>
        <w:t>沟槽回填土的密实度要求不低于下列数值：</w:t>
      </w:r>
    </w:p>
    <w:p>
      <w:pPr>
        <w:spacing w:line="360" w:lineRule="auto"/>
        <w:ind w:firstLine="420" w:firstLineChars="200"/>
        <w:rPr>
          <w:sz w:val="21"/>
          <w:szCs w:val="21"/>
        </w:rPr>
      </w:pPr>
      <w:r>
        <w:rPr>
          <w:sz w:val="21"/>
          <w:szCs w:val="21"/>
        </w:rPr>
        <w:t>（1）胸膛土（Ⅰ区）95%（轻型击实标准）；</w:t>
      </w:r>
    </w:p>
    <w:p>
      <w:pPr>
        <w:spacing w:line="360" w:lineRule="auto"/>
        <w:ind w:firstLine="420" w:firstLineChars="200"/>
        <w:rPr>
          <w:sz w:val="21"/>
          <w:szCs w:val="21"/>
        </w:rPr>
      </w:pPr>
      <w:r>
        <w:rPr>
          <w:sz w:val="21"/>
          <w:szCs w:val="21"/>
        </w:rPr>
        <w:t>（2）管顶以上500mm范围内（Ⅱ区）85%（轻型击实标准）；</w:t>
      </w:r>
    </w:p>
    <w:p>
      <w:pPr>
        <w:spacing w:line="360" w:lineRule="auto"/>
        <w:ind w:firstLine="420" w:firstLineChars="200"/>
        <w:rPr>
          <w:sz w:val="21"/>
          <w:szCs w:val="21"/>
        </w:rPr>
      </w:pPr>
      <w:r>
        <w:rPr>
          <w:sz w:val="21"/>
          <w:szCs w:val="21"/>
        </w:rPr>
        <w:t>（3）管顶以上</w:t>
      </w:r>
      <w:r>
        <w:rPr>
          <w:rFonts w:hint="eastAsia"/>
          <w:sz w:val="21"/>
          <w:szCs w:val="21"/>
          <w:lang w:val="en-US" w:eastAsia="zh-CN"/>
        </w:rPr>
        <w:t>5</w:t>
      </w:r>
      <w:r>
        <w:rPr>
          <w:sz w:val="21"/>
          <w:szCs w:val="21"/>
        </w:rPr>
        <w:t>00至路基（Ⅲ区）按道路路基要求。</w:t>
      </w:r>
    </w:p>
    <w:p>
      <w:pPr>
        <w:spacing w:line="360" w:lineRule="auto"/>
        <w:ind w:firstLine="420" w:firstLineChars="200"/>
        <w:rPr>
          <w:sz w:val="21"/>
          <w:szCs w:val="21"/>
        </w:rPr>
      </w:pPr>
      <w:r>
        <w:rPr>
          <w:sz w:val="21"/>
          <w:szCs w:val="21"/>
        </w:rPr>
        <w:t>（4）（土路床下0.6m）--回填土压实系数≥0.95（土路床下0.6～1.5m）--回填土压实系数≥0.90；</w:t>
      </w:r>
    </w:p>
    <w:p>
      <w:pPr>
        <w:spacing w:line="360" w:lineRule="auto"/>
        <w:ind w:firstLine="420" w:firstLineChars="200"/>
        <w:rPr>
          <w:sz w:val="21"/>
          <w:szCs w:val="21"/>
        </w:rPr>
      </w:pPr>
      <w:r>
        <w:rPr>
          <w:sz w:val="21"/>
          <w:szCs w:val="21"/>
        </w:rPr>
        <w:t>Ⅰ、Ⅱ区应采用非膨胀土回填，宜采用中粗砂或粗粒土，Ⅲ、Ⅳ区按道路路基要求执行，严禁混入砖、瓦、石块及其他硬物。回填土应分层夯实，每层回填土厚度不大于300mm；回填土分层夯实时，不得损坏管道。</w:t>
      </w:r>
    </w:p>
    <w:p>
      <w:pPr>
        <w:spacing w:line="360" w:lineRule="auto"/>
        <w:ind w:firstLine="420" w:firstLineChars="200"/>
        <w:rPr>
          <w:sz w:val="21"/>
          <w:szCs w:val="21"/>
        </w:rPr>
      </w:pPr>
      <w:r>
        <w:rPr>
          <w:rFonts w:hint="eastAsia"/>
          <w:sz w:val="21"/>
          <w:szCs w:val="21"/>
        </w:rPr>
        <w:t>3</w:t>
      </w:r>
      <w:r>
        <w:rPr>
          <w:sz w:val="21"/>
          <w:szCs w:val="21"/>
        </w:rPr>
        <w:t xml:space="preserve">） 管道安装    </w:t>
      </w:r>
    </w:p>
    <w:p>
      <w:pPr>
        <w:spacing w:line="360" w:lineRule="auto"/>
        <w:ind w:firstLine="420" w:firstLineChars="200"/>
        <w:rPr>
          <w:sz w:val="21"/>
          <w:szCs w:val="21"/>
        </w:rPr>
      </w:pPr>
      <w:r>
        <w:rPr>
          <w:sz w:val="21"/>
          <w:szCs w:val="21"/>
        </w:rPr>
        <w:t>管节安装前应进行外观检查，发现裂缝、保护层脱落、空鼓、掉口、掉角等缺陷，使用前应修补并经鉴定合格后，方可使用。管节安装前还应将管内外清扫干净。安装时应使管内底标高符合设计规定，调整管节及标高时，必须垫稳，两侧设撑杠稳固，防止滚动。</w:t>
      </w:r>
    </w:p>
    <w:p>
      <w:pPr>
        <w:spacing w:line="360" w:lineRule="auto"/>
        <w:ind w:firstLine="420" w:firstLineChars="200"/>
        <w:rPr>
          <w:sz w:val="21"/>
          <w:szCs w:val="21"/>
        </w:rPr>
      </w:pPr>
      <w:r>
        <w:rPr>
          <w:sz w:val="21"/>
          <w:szCs w:val="21"/>
        </w:rPr>
        <w:t>橡胶圈要采用管道生产厂家配套的专用橡胶圈。橡胶圈使用前必须逐个检查，不得有割裂、破损、气泡、大飞边等缺陷。安装时，管道承口内工作面、插口外工作面应清洗干净；套在插口上的圆形橡胶圈应平直无扭曲。</w:t>
      </w:r>
    </w:p>
    <w:p>
      <w:pPr>
        <w:spacing w:before="156" w:beforeLines="50" w:line="360" w:lineRule="auto"/>
        <w:ind w:firstLine="421" w:firstLineChars="200"/>
        <w:outlineLvl w:val="0"/>
        <w:rPr>
          <w:rFonts w:ascii="Times New Roman" w:hAnsi="Times New Roman" w:eastAsia="仿宋"/>
          <w:color w:val="000000"/>
          <w:sz w:val="21"/>
          <w:szCs w:val="21"/>
        </w:rPr>
      </w:pPr>
      <w:r>
        <w:rPr>
          <w:b/>
          <w:sz w:val="21"/>
          <w:szCs w:val="21"/>
        </w:rPr>
        <w:t>十</w:t>
      </w:r>
      <w:r>
        <w:rPr>
          <w:rFonts w:hint="eastAsia"/>
          <w:b/>
          <w:sz w:val="21"/>
          <w:szCs w:val="21"/>
          <w:lang w:eastAsia="zh-CN"/>
        </w:rPr>
        <w:t>三</w:t>
      </w:r>
      <w:r>
        <w:rPr>
          <w:b/>
          <w:sz w:val="21"/>
          <w:szCs w:val="21"/>
        </w:rPr>
        <w:t>、施工验收标准</w:t>
      </w:r>
    </w:p>
    <w:p>
      <w:pPr>
        <w:spacing w:line="360" w:lineRule="auto"/>
        <w:ind w:firstLine="420" w:firstLineChars="200"/>
        <w:rPr>
          <w:kern w:val="0"/>
          <w:sz w:val="21"/>
          <w:szCs w:val="21"/>
        </w:rPr>
      </w:pPr>
      <w:r>
        <w:rPr>
          <w:kern w:val="0"/>
          <w:sz w:val="21"/>
          <w:szCs w:val="21"/>
        </w:rPr>
        <w:t>施工质量验收要求 ：</w:t>
      </w:r>
    </w:p>
    <w:p>
      <w:pPr>
        <w:spacing w:line="360" w:lineRule="auto"/>
        <w:ind w:firstLine="420" w:firstLineChars="200"/>
        <w:rPr>
          <w:kern w:val="0"/>
          <w:sz w:val="21"/>
          <w:szCs w:val="21"/>
        </w:rPr>
      </w:pPr>
      <w:r>
        <w:rPr>
          <w:kern w:val="0"/>
          <w:sz w:val="21"/>
          <w:szCs w:val="21"/>
        </w:rPr>
        <w:t>1）施工验收闭水试验按照《给水排水管道工程施工及验收规范》GB50268-2008 中"9.3 无压管道的闭水试验"执行。</w:t>
      </w:r>
    </w:p>
    <w:p>
      <w:pPr>
        <w:spacing w:line="360" w:lineRule="auto"/>
        <w:ind w:firstLine="420" w:firstLineChars="200"/>
        <w:rPr>
          <w:sz w:val="21"/>
          <w:szCs w:val="21"/>
        </w:rPr>
      </w:pPr>
      <w:r>
        <w:rPr>
          <w:kern w:val="0"/>
          <w:sz w:val="21"/>
          <w:szCs w:val="21"/>
        </w:rPr>
        <w:t>2）施工应严格照相关规范和验收标准进行，遇到特殊情况请及时与设计单位联系解决。施工验收执行《给水排水管道工程施工及验收规范》GB50268-2008以及</w:t>
      </w:r>
      <w:r>
        <w:rPr>
          <w:sz w:val="21"/>
          <w:szCs w:val="21"/>
        </w:rPr>
        <w:t>《砌体结构工程施工质量验收规范》</w:t>
      </w:r>
      <w:r>
        <w:rPr>
          <w:kern w:val="0"/>
          <w:sz w:val="21"/>
          <w:szCs w:val="21"/>
        </w:rPr>
        <w:t>GB50203-2011等。</w:t>
      </w:r>
      <w:r>
        <w:rPr>
          <w:sz w:val="21"/>
          <w:szCs w:val="21"/>
        </w:rPr>
        <w:t>本项目排水管道工程的施工及验收标准按照《给水排水构筑物工程施工及验收规范》（GB50141-2008）和《给水排水管道工程施工及验收规范》GB50268-2008)以及管道生产厂家提供的"安装说明书"中的有关规定执行。</w:t>
      </w:r>
    </w:p>
    <w:p>
      <w:pPr>
        <w:spacing w:before="156" w:beforeLines="50" w:line="360" w:lineRule="auto"/>
        <w:ind w:firstLine="421" w:firstLineChars="200"/>
        <w:outlineLvl w:val="0"/>
        <w:rPr>
          <w:b/>
          <w:sz w:val="21"/>
          <w:szCs w:val="21"/>
        </w:rPr>
      </w:pPr>
      <w:r>
        <w:rPr>
          <w:b/>
          <w:sz w:val="21"/>
          <w:szCs w:val="21"/>
        </w:rPr>
        <w:t>十四、排水管道维护</w:t>
      </w:r>
    </w:p>
    <w:p>
      <w:pPr>
        <w:spacing w:line="360" w:lineRule="auto"/>
        <w:rPr>
          <w:rFonts w:hint="eastAsia"/>
          <w:sz w:val="21"/>
          <w:szCs w:val="21"/>
          <w:lang w:val="en-US" w:eastAsia="zh-CN"/>
        </w:rPr>
      </w:pPr>
      <w:r>
        <w:rPr>
          <w:sz w:val="21"/>
          <w:szCs w:val="21"/>
        </w:rPr>
        <w:t>本项目排水管道及其附属构筑物的维护，按照国家行业标准《城镇排水管渠与泵站维护技术规程》（CJJ 68-2007）中第3章和第5章的相关规定</w:t>
      </w:r>
      <w:r>
        <w:rPr>
          <w:rFonts w:hint="eastAsia"/>
          <w:sz w:val="21"/>
          <w:szCs w:val="21"/>
          <w:lang w:val="en-US" w:eastAsia="zh-CN"/>
        </w:rPr>
        <w:t>执行。</w:t>
      </w:r>
    </w:p>
    <w:p>
      <w:pPr>
        <w:spacing w:line="600" w:lineRule="exact"/>
        <w:ind w:left="0" w:leftChars="0" w:firstLine="0" w:firstLineChars="0"/>
        <w:rPr>
          <w:rFonts w:hint="default"/>
          <w:sz w:val="21"/>
          <w:szCs w:val="21"/>
          <w:lang w:val="en-US" w:eastAsia="zh-CN"/>
        </w:rPr>
      </w:pPr>
      <w:r>
        <w:rPr>
          <w:rFonts w:hint="eastAsia"/>
          <w:sz w:val="21"/>
          <w:szCs w:val="21"/>
          <w:lang w:val="en-US" w:eastAsia="zh-CN"/>
        </w:rPr>
        <w:t>改建卫生间做法：根据用户原有房间砌筑180mm厚页岩砖隔墙，并预留800mmx2000mm门洞口。</w:t>
      </w:r>
    </w:p>
    <w:p>
      <w:pPr>
        <w:pStyle w:val="2"/>
        <w:rPr>
          <w:rFonts w:hint="default"/>
          <w:lang w:val="en-US" w:eastAsia="zh-CN"/>
        </w:rPr>
      </w:pP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5027930" cy="5019675"/>
            <wp:effectExtent l="0" t="0" r="1270" b="9525"/>
            <wp:docPr id="1" name="图片 1"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1" name="图片 1" descr="IMG_256"/>
                    <pic:cNvPicPr>
                      <a:picLocks noChangeAspect="true"/>
                    </pic:cNvPicPr>
                  </pic:nvPicPr>
                  <pic:blipFill>
                    <a:blip r:embed="rId17"/>
                    <a:stretch>
                      <a:fillRect/>
                    </a:stretch>
                  </pic:blipFill>
                  <pic:spPr>
                    <a:xfrm>
                      <a:off x="0" y="0"/>
                      <a:ext cx="5027930" cy="5019675"/>
                    </a:xfrm>
                    <a:prstGeom prst="rect">
                      <a:avLst/>
                    </a:prstGeom>
                    <a:noFill/>
                    <a:ln w="9525">
                      <a:noFill/>
                    </a:ln>
                  </pic:spPr>
                </pic:pic>
              </a:graphicData>
            </a:graphic>
          </wp:inline>
        </w:drawing>
      </w:r>
    </w:p>
    <w:p>
      <w:pPr>
        <w:keepNext w:val="0"/>
        <w:keepLines w:val="0"/>
        <w:widowControl/>
        <w:suppressLineNumbers w:val="0"/>
        <w:jc w:val="left"/>
        <w:rPr>
          <w:rFonts w:ascii="宋体" w:hAnsi="宋体" w:eastAsia="宋体" w:cs="宋体"/>
          <w:kern w:val="0"/>
          <w:sz w:val="24"/>
          <w:szCs w:val="24"/>
          <w:lang w:val="en-US" w:eastAsia="zh-CN" w:bidi="ar"/>
        </w:rPr>
      </w:pPr>
    </w:p>
    <w:p>
      <w:pPr>
        <w:keepNext w:val="0"/>
        <w:keepLines w:val="0"/>
        <w:widowControl/>
        <w:suppressLineNumbers w:val="0"/>
        <w:jc w:val="left"/>
        <w:rPr>
          <w:rFonts w:hint="eastAsia"/>
          <w:sz w:val="21"/>
          <w:szCs w:val="21"/>
          <w:lang w:val="en-US" w:eastAsia="zh-CN"/>
        </w:rPr>
      </w:pPr>
      <w:r>
        <w:rPr>
          <w:rFonts w:hint="eastAsia"/>
          <w:sz w:val="21"/>
          <w:szCs w:val="21"/>
          <w:lang w:val="en-US" w:eastAsia="zh-CN"/>
        </w:rPr>
        <w:t>注：1.卫生间结构板比同层楼地面标高低0.35m;2.、未注明门垛宽度均为120mm；除标注外，其余轴线均位于墙中，柱尺寸为180mmx180mm；3.墙体为厚180mm页岩砖；4.内外墙体粉水。</w:t>
      </w:r>
    </w:p>
    <w:p>
      <w:pPr>
        <w:keepNext w:val="0"/>
        <w:keepLines w:val="0"/>
        <w:widowControl/>
        <w:suppressLineNumbers w:val="0"/>
        <w:jc w:val="left"/>
        <w:rPr>
          <w:rFonts w:hint="eastAsia"/>
          <w:sz w:val="21"/>
          <w:szCs w:val="21"/>
          <w:lang w:val="en-US" w:eastAsia="zh-CN"/>
        </w:rPr>
      </w:pPr>
      <w:r>
        <w:rPr>
          <w:rFonts w:hint="eastAsia"/>
          <w:sz w:val="21"/>
          <w:szCs w:val="21"/>
          <w:lang w:val="en-US" w:eastAsia="zh-CN"/>
        </w:rPr>
        <w:t>卫生间设施设备做法：</w:t>
      </w: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5142865" cy="1476375"/>
            <wp:effectExtent l="0" t="0" r="635" b="9525"/>
            <wp:docPr id="2" name="图片 2"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2" name="图片 2" descr="IMG_256"/>
                    <pic:cNvPicPr>
                      <a:picLocks noChangeAspect="true"/>
                    </pic:cNvPicPr>
                  </pic:nvPicPr>
                  <pic:blipFill>
                    <a:blip r:embed="rId18"/>
                    <a:stretch>
                      <a:fillRect/>
                    </a:stretch>
                  </pic:blipFill>
                  <pic:spPr>
                    <a:xfrm>
                      <a:off x="0" y="0"/>
                      <a:ext cx="5142865" cy="1476375"/>
                    </a:xfrm>
                    <a:prstGeom prst="rect">
                      <a:avLst/>
                    </a:prstGeom>
                    <a:noFill/>
                    <a:ln w="9525">
                      <a:noFill/>
                    </a:ln>
                  </pic:spPr>
                </pic:pic>
              </a:graphicData>
            </a:graphic>
          </wp:inline>
        </w:drawing>
      </w:r>
    </w:p>
    <w:p>
      <w:pPr>
        <w:keepNext w:val="0"/>
        <w:keepLines w:val="0"/>
        <w:widowControl/>
        <w:suppressLineNumbers w:val="0"/>
        <w:jc w:val="left"/>
      </w:pPr>
    </w:p>
    <w:p>
      <w:pPr>
        <w:keepNext w:val="0"/>
        <w:keepLines w:val="0"/>
        <w:widowControl/>
        <w:suppressLineNumbers w:val="0"/>
        <w:jc w:val="left"/>
        <w:rPr>
          <w:rFonts w:hint="eastAsia"/>
          <w:lang w:val="en-US" w:eastAsia="zh-CN"/>
        </w:rPr>
      </w:pPr>
      <w:r>
        <w:rPr>
          <w:rFonts w:hint="eastAsia"/>
          <w:lang w:val="en-US" w:eastAsia="zh-CN"/>
        </w:rPr>
        <w:t>原有粪池盖板做法:每户2块盖板，1块为活动盖板以方便用户清掏。</w:t>
      </w: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5085080" cy="2317115"/>
            <wp:effectExtent l="0" t="0" r="1270" b="6985"/>
            <wp:docPr id="12" name="图片 1"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12" name="图片 1" descr="IMG_256"/>
                    <pic:cNvPicPr>
                      <a:picLocks noChangeAspect="true"/>
                    </pic:cNvPicPr>
                  </pic:nvPicPr>
                  <pic:blipFill>
                    <a:blip r:embed="rId19"/>
                    <a:stretch>
                      <a:fillRect/>
                    </a:stretch>
                  </pic:blipFill>
                  <pic:spPr>
                    <a:xfrm>
                      <a:off x="0" y="0"/>
                      <a:ext cx="5085080" cy="2317115"/>
                    </a:xfrm>
                    <a:prstGeom prst="rect">
                      <a:avLst/>
                    </a:prstGeom>
                    <a:noFill/>
                    <a:ln w="9525">
                      <a:noFill/>
                    </a:ln>
                  </pic:spPr>
                </pic:pic>
              </a:graphicData>
            </a:graphic>
          </wp:inline>
        </w:drawing>
      </w:r>
    </w:p>
    <w:p>
      <w:pPr>
        <w:keepNext w:val="0"/>
        <w:keepLines w:val="0"/>
        <w:widowControl/>
        <w:suppressLineNumbers w:val="0"/>
        <w:jc w:val="left"/>
        <w:rPr>
          <w:rFonts w:ascii="宋体" w:hAnsi="宋体" w:eastAsia="宋体" w:cs="宋体"/>
          <w:kern w:val="0"/>
          <w:sz w:val="24"/>
          <w:szCs w:val="24"/>
          <w:lang w:val="en-US" w:eastAsia="zh-CN" w:bidi="ar"/>
        </w:rPr>
      </w:pPr>
    </w:p>
    <w:p>
      <w:pPr>
        <w:keepNext w:val="0"/>
        <w:keepLines w:val="0"/>
        <w:widowControl/>
        <w:suppressLineNumbers w:val="0"/>
        <w:jc w:val="left"/>
        <w:rPr>
          <w:rFonts w:hint="default" w:ascii="宋体" w:hAnsi="宋体" w:cs="宋体"/>
          <w:kern w:val="0"/>
          <w:sz w:val="24"/>
          <w:szCs w:val="24"/>
          <w:lang w:val="en-US" w:eastAsia="zh-CN" w:bidi="ar"/>
        </w:rPr>
      </w:pPr>
      <w:r>
        <w:rPr>
          <w:rFonts w:hint="eastAsia" w:ascii="宋体" w:hAnsi="宋体" w:cs="宋体"/>
          <w:kern w:val="0"/>
          <w:sz w:val="24"/>
          <w:szCs w:val="24"/>
          <w:lang w:val="en-US" w:eastAsia="zh-CN" w:bidi="ar"/>
        </w:rPr>
        <w:t>注：原粪池外2000处新建化粪池，采用</w:t>
      </w:r>
      <w:r>
        <w:rPr>
          <w:rFonts w:hint="eastAsia"/>
          <w:lang w:val="en-US" w:eastAsia="zh-CN"/>
        </w:rPr>
        <w:t>污水管dn160UPVC管排放至化粪池，坡向化粪池，坡度1%，埋深0.5米。</w:t>
      </w:r>
    </w:p>
    <w:p>
      <w:pPr>
        <w:numPr>
          <w:ilvl w:val="0"/>
          <w:numId w:val="0"/>
        </w:numPr>
        <w:ind w:left="720" w:leftChars="0"/>
        <w:rPr>
          <w:rFonts w:hint="eastAsia"/>
          <w:b/>
          <w:bCs/>
          <w:lang w:val="en-US" w:eastAsia="zh-CN"/>
        </w:rPr>
      </w:pPr>
      <w:r>
        <w:rPr>
          <w:rFonts w:hint="eastAsia"/>
          <w:lang w:val="en-US" w:eastAsia="zh-CN"/>
        </w:rPr>
        <w:t>改造卫生间给排水做法：</w:t>
      </w: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5626100" cy="3543935"/>
            <wp:effectExtent l="0" t="0" r="12700" b="18415"/>
            <wp:docPr id="3" name="图片 3"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3" name="图片 3" descr="IMG_256"/>
                    <pic:cNvPicPr>
                      <a:picLocks noChangeAspect="true"/>
                    </pic:cNvPicPr>
                  </pic:nvPicPr>
                  <pic:blipFill>
                    <a:blip r:embed="rId20"/>
                    <a:stretch>
                      <a:fillRect/>
                    </a:stretch>
                  </pic:blipFill>
                  <pic:spPr>
                    <a:xfrm>
                      <a:off x="0" y="0"/>
                      <a:ext cx="5626100" cy="3543935"/>
                    </a:xfrm>
                    <a:prstGeom prst="rect">
                      <a:avLst/>
                    </a:prstGeom>
                    <a:noFill/>
                    <a:ln w="9525">
                      <a:noFill/>
                    </a:ln>
                  </pic:spPr>
                </pic:pic>
              </a:graphicData>
            </a:graphic>
          </wp:inline>
        </w:drawing>
      </w:r>
    </w:p>
    <w:p>
      <w:pPr>
        <w:keepNext w:val="0"/>
        <w:keepLines w:val="0"/>
        <w:widowControl/>
        <w:suppressLineNumbers w:val="0"/>
        <w:jc w:val="left"/>
      </w:pPr>
    </w:p>
    <w:p>
      <w:pPr>
        <w:keepNext w:val="0"/>
        <w:keepLines w:val="0"/>
        <w:widowControl/>
        <w:suppressLineNumbers w:val="0"/>
        <w:ind w:left="0" w:leftChars="0" w:firstLine="560" w:firstLineChars="200"/>
        <w:jc w:val="left"/>
        <w:rPr>
          <w:rFonts w:hint="default"/>
          <w:sz w:val="21"/>
          <w:szCs w:val="21"/>
          <w:lang w:val="en-US" w:eastAsia="zh-CN"/>
        </w:rPr>
      </w:pPr>
      <w:r>
        <w:rPr>
          <w:rFonts w:hint="eastAsia"/>
          <w:lang w:val="en-US" w:eastAsia="zh-CN"/>
        </w:rPr>
        <w:t>注：1.生活给水管 : 生活给水管采用PP-R给水塑料管,热熔连接。冷水管压力等级1.0MPa。2.出户管采用UPVC管，粘接，排至检查井或化粪池，坡向检查井或化粪池，坡度1%，埋深0.3米。</w:t>
      </w:r>
    </w:p>
    <w:p>
      <w:pPr>
        <w:keepNext w:val="0"/>
        <w:keepLines w:val="0"/>
        <w:widowControl/>
        <w:suppressLineNumbers w:val="0"/>
        <w:jc w:val="left"/>
        <w:rPr>
          <w:rFonts w:hint="eastAsia"/>
          <w:lang w:val="en-US" w:eastAsia="zh-CN"/>
        </w:rPr>
      </w:pPr>
      <w:r>
        <w:rPr>
          <w:rFonts w:hint="eastAsia"/>
          <w:lang w:val="en-US" w:eastAsia="zh-CN"/>
        </w:rPr>
        <w:t>改造卫生间照明及插座做法：</w:t>
      </w:r>
    </w:p>
    <w:p>
      <w:pPr>
        <w:keepNext w:val="0"/>
        <w:keepLines w:val="0"/>
        <w:widowControl/>
        <w:suppressLineNumbers w:val="0"/>
        <w:jc w:val="left"/>
        <w:rPr>
          <w:rFonts w:ascii="宋体" w:hAnsi="宋体" w:eastAsia="宋体" w:cs="宋体"/>
          <w:kern w:val="0"/>
          <w:sz w:val="24"/>
          <w:szCs w:val="24"/>
          <w:lang w:val="en-US" w:eastAsia="zh-CN" w:bidi="ar"/>
        </w:rPr>
      </w:pPr>
      <w:r>
        <w:rPr>
          <w:rFonts w:ascii="宋体" w:hAnsi="宋体" w:eastAsia="宋体" w:cs="宋体"/>
          <w:kern w:val="0"/>
          <w:sz w:val="24"/>
          <w:szCs w:val="24"/>
          <w:lang w:val="en-US" w:eastAsia="zh-CN" w:bidi="ar"/>
        </w:rPr>
        <w:drawing>
          <wp:inline distT="0" distB="0" distL="114300" distR="114300">
            <wp:extent cx="4867275" cy="3120390"/>
            <wp:effectExtent l="0" t="0" r="9525" b="3810"/>
            <wp:docPr id="4" name="图片 4"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4" name="图片 4" descr="IMG_256"/>
                    <pic:cNvPicPr>
                      <a:picLocks noChangeAspect="true"/>
                    </pic:cNvPicPr>
                  </pic:nvPicPr>
                  <pic:blipFill>
                    <a:blip r:embed="rId21"/>
                    <a:stretch>
                      <a:fillRect/>
                    </a:stretch>
                  </pic:blipFill>
                  <pic:spPr>
                    <a:xfrm>
                      <a:off x="0" y="0"/>
                      <a:ext cx="4867275" cy="3120390"/>
                    </a:xfrm>
                    <a:prstGeom prst="rect">
                      <a:avLst/>
                    </a:prstGeom>
                    <a:noFill/>
                    <a:ln w="9525">
                      <a:noFill/>
                    </a:ln>
                  </pic:spPr>
                </pic:pic>
              </a:graphicData>
            </a:graphic>
          </wp:inline>
        </w:drawing>
      </w:r>
    </w:p>
    <w:p>
      <w:pPr>
        <w:keepNext w:val="0"/>
        <w:keepLines w:val="0"/>
        <w:widowControl/>
        <w:suppressLineNumbers w:val="0"/>
        <w:ind w:left="0" w:leftChars="0" w:firstLine="280" w:firstLineChars="100"/>
        <w:jc w:val="left"/>
        <w:rPr>
          <w:rFonts w:hint="eastAsia"/>
          <w:lang w:val="en-US" w:eastAsia="zh-CN"/>
        </w:rPr>
      </w:pPr>
      <w:r>
        <w:rPr>
          <w:rFonts w:hint="eastAsia"/>
          <w:lang w:val="en-US" w:eastAsia="zh-CN"/>
        </w:rPr>
        <w:t>污水干管做法：</w:t>
      </w:r>
    </w:p>
    <w:p>
      <w:pPr>
        <w:keepNext w:val="0"/>
        <w:keepLines w:val="0"/>
        <w:widowControl/>
        <w:suppressLineNumbers w:val="0"/>
        <w:ind w:left="0" w:leftChars="0" w:firstLine="0" w:firstLineChars="0"/>
        <w:jc w:val="left"/>
      </w:pPr>
      <w:r>
        <w:rPr>
          <w:rFonts w:ascii="宋体" w:hAnsi="宋体" w:eastAsia="宋体" w:cs="宋体"/>
          <w:kern w:val="0"/>
          <w:sz w:val="24"/>
          <w:szCs w:val="24"/>
          <w:lang w:val="en-US" w:eastAsia="zh-CN" w:bidi="ar"/>
        </w:rPr>
        <w:drawing>
          <wp:inline distT="0" distB="0" distL="114300" distR="114300">
            <wp:extent cx="5176520" cy="3049270"/>
            <wp:effectExtent l="0" t="0" r="5080" b="17780"/>
            <wp:docPr id="16" name="图片 7"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16" name="图片 7" descr="IMG_256"/>
                    <pic:cNvPicPr>
                      <a:picLocks noChangeAspect="true"/>
                    </pic:cNvPicPr>
                  </pic:nvPicPr>
                  <pic:blipFill>
                    <a:blip r:embed="rId22"/>
                    <a:stretch>
                      <a:fillRect/>
                    </a:stretch>
                  </pic:blipFill>
                  <pic:spPr>
                    <a:xfrm>
                      <a:off x="0" y="0"/>
                      <a:ext cx="5176520" cy="3049270"/>
                    </a:xfrm>
                    <a:prstGeom prst="rect">
                      <a:avLst/>
                    </a:prstGeom>
                    <a:noFill/>
                    <a:ln w="9525">
                      <a:noFill/>
                    </a:ln>
                  </pic:spPr>
                </pic:pic>
              </a:graphicData>
            </a:graphic>
          </wp:inline>
        </w:drawing>
      </w:r>
    </w:p>
    <w:p>
      <w:pPr>
        <w:keepNext w:val="0"/>
        <w:keepLines w:val="0"/>
        <w:widowControl/>
        <w:suppressLineNumbers w:val="0"/>
        <w:jc w:val="left"/>
        <w:rPr>
          <w:rFonts w:hint="default"/>
          <w:lang w:val="en-US" w:eastAsia="zh-CN"/>
        </w:rPr>
      </w:pPr>
    </w:p>
    <w:p>
      <w:pPr>
        <w:keepNext w:val="0"/>
        <w:keepLines w:val="0"/>
        <w:widowControl/>
        <w:suppressLineNumbers w:val="0"/>
        <w:jc w:val="left"/>
        <w:rPr>
          <w:rFonts w:hint="default"/>
          <w:lang w:val="en-US" w:eastAsia="zh-CN"/>
        </w:rPr>
      </w:pPr>
    </w:p>
    <w:p>
      <w:pPr>
        <w:keepNext w:val="0"/>
        <w:keepLines w:val="0"/>
        <w:widowControl/>
        <w:suppressLineNumbers w:val="0"/>
        <w:jc w:val="left"/>
        <w:rPr>
          <w:rFonts w:hint="default"/>
          <w:lang w:val="en-US" w:eastAsia="zh-CN"/>
        </w:rPr>
      </w:pPr>
      <w:r>
        <w:rPr>
          <w:rFonts w:ascii="宋体" w:hAnsi="宋体" w:eastAsia="宋体" w:cs="宋体"/>
          <w:kern w:val="0"/>
          <w:sz w:val="24"/>
          <w:szCs w:val="24"/>
          <w:lang w:val="en-US" w:eastAsia="zh-CN" w:bidi="ar"/>
        </w:rPr>
        <w:drawing>
          <wp:inline distT="0" distB="0" distL="114300" distR="114300">
            <wp:extent cx="5115560" cy="2305050"/>
            <wp:effectExtent l="0" t="0" r="8890" b="0"/>
            <wp:docPr id="17" name="图片 8"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17" name="图片 8" descr="IMG_256"/>
                    <pic:cNvPicPr>
                      <a:picLocks noChangeAspect="true"/>
                    </pic:cNvPicPr>
                  </pic:nvPicPr>
                  <pic:blipFill>
                    <a:blip r:embed="rId23"/>
                    <a:stretch>
                      <a:fillRect/>
                    </a:stretch>
                  </pic:blipFill>
                  <pic:spPr>
                    <a:xfrm>
                      <a:off x="0" y="0"/>
                      <a:ext cx="5115560" cy="2305050"/>
                    </a:xfrm>
                    <a:prstGeom prst="rect">
                      <a:avLst/>
                    </a:prstGeom>
                    <a:noFill/>
                    <a:ln w="9525">
                      <a:noFill/>
                    </a:ln>
                  </pic:spPr>
                </pic:pic>
              </a:graphicData>
            </a:graphic>
          </wp:inline>
        </w:drawing>
      </w: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5106670" cy="3058160"/>
            <wp:effectExtent l="0" t="0" r="17780" b="8890"/>
            <wp:docPr id="18" name="图片 9"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18" name="图片 9" descr="IMG_256"/>
                    <pic:cNvPicPr>
                      <a:picLocks noChangeAspect="true"/>
                    </pic:cNvPicPr>
                  </pic:nvPicPr>
                  <pic:blipFill>
                    <a:blip r:embed="rId24"/>
                    <a:stretch>
                      <a:fillRect/>
                    </a:stretch>
                  </pic:blipFill>
                  <pic:spPr>
                    <a:xfrm>
                      <a:off x="0" y="0"/>
                      <a:ext cx="5106670" cy="3058160"/>
                    </a:xfrm>
                    <a:prstGeom prst="rect">
                      <a:avLst/>
                    </a:prstGeom>
                    <a:noFill/>
                    <a:ln w="9525">
                      <a:noFill/>
                    </a:ln>
                  </pic:spPr>
                </pic:pic>
              </a:graphicData>
            </a:graphic>
          </wp:inline>
        </w:drawing>
      </w: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5095875" cy="2723515"/>
            <wp:effectExtent l="0" t="0" r="9525" b="635"/>
            <wp:docPr id="19" name="图片 10"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19" name="图片 10" descr="IMG_256"/>
                    <pic:cNvPicPr>
                      <a:picLocks noChangeAspect="true"/>
                    </pic:cNvPicPr>
                  </pic:nvPicPr>
                  <pic:blipFill>
                    <a:blip r:embed="rId25"/>
                    <a:stretch>
                      <a:fillRect/>
                    </a:stretch>
                  </pic:blipFill>
                  <pic:spPr>
                    <a:xfrm>
                      <a:off x="0" y="0"/>
                      <a:ext cx="5095875" cy="2723515"/>
                    </a:xfrm>
                    <a:prstGeom prst="rect">
                      <a:avLst/>
                    </a:prstGeom>
                    <a:noFill/>
                    <a:ln w="9525">
                      <a:noFill/>
                    </a:ln>
                  </pic:spPr>
                </pic:pic>
              </a:graphicData>
            </a:graphic>
          </wp:inline>
        </w:drawing>
      </w:r>
    </w:p>
    <w:p>
      <w:pPr>
        <w:keepNext w:val="0"/>
        <w:keepLines w:val="0"/>
        <w:widowControl/>
        <w:suppressLineNumbers w:val="0"/>
        <w:jc w:val="left"/>
        <w:rPr>
          <w:rFonts w:hint="default"/>
          <w:lang w:val="en-US" w:eastAsia="zh-CN"/>
        </w:rPr>
      </w:pPr>
    </w:p>
    <w:p>
      <w:pPr>
        <w:spacing w:line="600" w:lineRule="exact"/>
        <w:ind w:left="0" w:leftChars="0" w:firstLine="0" w:firstLineChars="0"/>
        <w:rPr>
          <w:rFonts w:hint="default"/>
          <w:sz w:val="21"/>
          <w:szCs w:val="21"/>
          <w:lang w:val="en-US" w:eastAsia="zh-CN"/>
        </w:rPr>
      </w:pPr>
      <w:r>
        <w:rPr>
          <w:rFonts w:hint="eastAsia"/>
          <w:sz w:val="21"/>
          <w:szCs w:val="21"/>
          <w:lang w:val="en-US" w:eastAsia="zh-CN"/>
        </w:rPr>
        <w:t>新建卫生间做法：180mm厚页岩砖砌筑墙体。</w:t>
      </w:r>
    </w:p>
    <w:p>
      <w:pPr>
        <w:keepNext w:val="0"/>
        <w:keepLines w:val="0"/>
        <w:widowControl/>
        <w:suppressLineNumbers w:val="0"/>
        <w:jc w:val="left"/>
        <w:rPr>
          <w:rFonts w:ascii="宋体" w:hAnsi="宋体" w:eastAsia="宋体" w:cs="宋体"/>
          <w:kern w:val="0"/>
          <w:sz w:val="24"/>
          <w:szCs w:val="24"/>
          <w:lang w:val="en-US" w:eastAsia="zh-CN" w:bidi="ar"/>
        </w:rPr>
      </w:pPr>
      <w:r>
        <w:rPr>
          <w:rFonts w:ascii="宋体" w:hAnsi="宋体" w:eastAsia="宋体" w:cs="宋体"/>
          <w:kern w:val="0"/>
          <w:sz w:val="24"/>
          <w:szCs w:val="24"/>
          <w:lang w:val="en-US" w:eastAsia="zh-CN" w:bidi="ar"/>
        </w:rPr>
        <w:drawing>
          <wp:inline distT="0" distB="0" distL="114300" distR="114300">
            <wp:extent cx="4981575" cy="5019675"/>
            <wp:effectExtent l="0" t="0" r="9525" b="9525"/>
            <wp:docPr id="8" name="图片 8"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8" name="图片 8" descr="IMG_256"/>
                    <pic:cNvPicPr>
                      <a:picLocks noChangeAspect="true"/>
                    </pic:cNvPicPr>
                  </pic:nvPicPr>
                  <pic:blipFill>
                    <a:blip r:embed="rId17"/>
                    <a:stretch>
                      <a:fillRect/>
                    </a:stretch>
                  </pic:blipFill>
                  <pic:spPr>
                    <a:xfrm>
                      <a:off x="0" y="0"/>
                      <a:ext cx="4981575" cy="5019675"/>
                    </a:xfrm>
                    <a:prstGeom prst="rect">
                      <a:avLst/>
                    </a:prstGeom>
                    <a:noFill/>
                    <a:ln w="9525">
                      <a:noFill/>
                    </a:ln>
                  </pic:spPr>
                </pic:pic>
              </a:graphicData>
            </a:graphic>
          </wp:inline>
        </w:drawing>
      </w:r>
    </w:p>
    <w:p>
      <w:pPr>
        <w:keepNext w:val="0"/>
        <w:keepLines w:val="0"/>
        <w:widowControl/>
        <w:suppressLineNumbers w:val="0"/>
        <w:jc w:val="left"/>
        <w:rPr>
          <w:rFonts w:hint="eastAsia"/>
          <w:sz w:val="21"/>
          <w:szCs w:val="21"/>
          <w:lang w:val="en-US" w:eastAsia="zh-CN"/>
        </w:rPr>
      </w:pPr>
      <w:r>
        <w:rPr>
          <w:rFonts w:hint="eastAsia"/>
          <w:sz w:val="21"/>
          <w:szCs w:val="21"/>
          <w:lang w:val="en-US" w:eastAsia="zh-CN"/>
        </w:rPr>
        <w:t>注：1.卫生间结构板比同层楼地面标高低0.35m;2.、未注明门垛宽度均为120mm；除标注外，其余轴线均位于墙中，柱尺寸为180mmx180mm；3.墙体为厚180mm页岩砖；4.内外墙体粉水。</w:t>
      </w:r>
    </w:p>
    <w:p>
      <w:pPr>
        <w:keepNext w:val="0"/>
        <w:keepLines w:val="0"/>
        <w:widowControl/>
        <w:suppressLineNumbers w:val="0"/>
        <w:jc w:val="left"/>
        <w:rPr>
          <w:rFonts w:hint="eastAsia"/>
          <w:sz w:val="21"/>
          <w:szCs w:val="21"/>
          <w:lang w:val="en-US" w:eastAsia="zh-CN"/>
        </w:rPr>
      </w:pPr>
      <w:r>
        <w:rPr>
          <w:rFonts w:hint="eastAsia"/>
          <w:sz w:val="21"/>
          <w:szCs w:val="21"/>
          <w:lang w:val="en-US" w:eastAsia="zh-CN"/>
        </w:rPr>
        <w:t>卫生间设施设备做法：</w:t>
      </w:r>
    </w:p>
    <w:p>
      <w:pPr>
        <w:keepNext w:val="0"/>
        <w:keepLines w:val="0"/>
        <w:widowControl/>
        <w:suppressLineNumbers w:val="0"/>
        <w:jc w:val="left"/>
        <w:rPr>
          <w:rFonts w:hint="default"/>
          <w:lang w:val="en-US" w:eastAsia="zh-CN"/>
        </w:rPr>
      </w:pPr>
      <w:r>
        <w:rPr>
          <w:rFonts w:ascii="宋体" w:hAnsi="宋体" w:eastAsia="宋体" w:cs="宋体"/>
          <w:kern w:val="0"/>
          <w:sz w:val="24"/>
          <w:szCs w:val="24"/>
          <w:lang w:val="en-US" w:eastAsia="zh-CN" w:bidi="ar"/>
        </w:rPr>
        <w:drawing>
          <wp:inline distT="0" distB="0" distL="114300" distR="114300">
            <wp:extent cx="4933950" cy="1476375"/>
            <wp:effectExtent l="0" t="0" r="0" b="9525"/>
            <wp:docPr id="9" name="图片 9"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9" name="图片 9" descr="IMG_256"/>
                    <pic:cNvPicPr>
                      <a:picLocks noChangeAspect="true"/>
                    </pic:cNvPicPr>
                  </pic:nvPicPr>
                  <pic:blipFill>
                    <a:blip r:embed="rId18"/>
                    <a:stretch>
                      <a:fillRect/>
                    </a:stretch>
                  </pic:blipFill>
                  <pic:spPr>
                    <a:xfrm>
                      <a:off x="0" y="0"/>
                      <a:ext cx="4933950" cy="1476375"/>
                    </a:xfrm>
                    <a:prstGeom prst="rect">
                      <a:avLst/>
                    </a:prstGeom>
                    <a:noFill/>
                    <a:ln w="9525">
                      <a:noFill/>
                    </a:ln>
                  </pic:spPr>
                </pic:pic>
              </a:graphicData>
            </a:graphic>
          </wp:inline>
        </w:drawing>
      </w:r>
    </w:p>
    <w:p>
      <w:pPr>
        <w:keepNext w:val="0"/>
        <w:keepLines w:val="0"/>
        <w:widowControl/>
        <w:suppressLineNumbers w:val="0"/>
        <w:ind w:left="0" w:leftChars="0" w:firstLine="0" w:firstLineChars="0"/>
        <w:jc w:val="left"/>
        <w:rPr>
          <w:rFonts w:hint="default"/>
          <w:lang w:val="en-US" w:eastAsia="zh-CN"/>
        </w:rPr>
      </w:pP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4942840" cy="4791075"/>
            <wp:effectExtent l="0" t="0" r="10160" b="9525"/>
            <wp:docPr id="21" name="图片 11"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21" name="图片 11" descr="IMG_256"/>
                    <pic:cNvPicPr>
                      <a:picLocks noChangeAspect="true"/>
                    </pic:cNvPicPr>
                  </pic:nvPicPr>
                  <pic:blipFill>
                    <a:blip r:embed="rId26"/>
                    <a:stretch>
                      <a:fillRect/>
                    </a:stretch>
                  </pic:blipFill>
                  <pic:spPr>
                    <a:xfrm>
                      <a:off x="0" y="0"/>
                      <a:ext cx="4942840" cy="4791075"/>
                    </a:xfrm>
                    <a:prstGeom prst="rect">
                      <a:avLst/>
                    </a:prstGeom>
                    <a:noFill/>
                    <a:ln w="9525">
                      <a:noFill/>
                    </a:ln>
                  </pic:spPr>
                </pic:pic>
              </a:graphicData>
            </a:graphic>
          </wp:inline>
        </w:drawing>
      </w: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2238375" cy="3067050"/>
            <wp:effectExtent l="0" t="0" r="9525" b="0"/>
            <wp:docPr id="23" name="图片 12"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23" name="图片 12" descr="IMG_256"/>
                    <pic:cNvPicPr>
                      <a:picLocks noChangeAspect="true"/>
                    </pic:cNvPicPr>
                  </pic:nvPicPr>
                  <pic:blipFill>
                    <a:blip r:embed="rId27"/>
                    <a:stretch>
                      <a:fillRect/>
                    </a:stretch>
                  </pic:blipFill>
                  <pic:spPr>
                    <a:xfrm>
                      <a:off x="0" y="0"/>
                      <a:ext cx="2238375" cy="3067050"/>
                    </a:xfrm>
                    <a:prstGeom prst="rect">
                      <a:avLst/>
                    </a:prstGeom>
                    <a:noFill/>
                    <a:ln w="9525">
                      <a:noFill/>
                    </a:ln>
                  </pic:spPr>
                </pic:pic>
              </a:graphicData>
            </a:graphic>
          </wp:inline>
        </w:drawing>
      </w:r>
      <w:r>
        <w:rPr>
          <w:rFonts w:ascii="宋体" w:hAnsi="宋体" w:eastAsia="宋体" w:cs="宋体"/>
          <w:kern w:val="0"/>
          <w:sz w:val="24"/>
          <w:szCs w:val="24"/>
          <w:lang w:val="en-US" w:eastAsia="zh-CN" w:bidi="ar"/>
        </w:rPr>
        <w:drawing>
          <wp:inline distT="0" distB="0" distL="114300" distR="114300">
            <wp:extent cx="2695575" cy="3039745"/>
            <wp:effectExtent l="0" t="0" r="9525" b="8255"/>
            <wp:docPr id="24" name="图片 13"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24" name="图片 13" descr="IMG_256"/>
                    <pic:cNvPicPr>
                      <a:picLocks noChangeAspect="true"/>
                    </pic:cNvPicPr>
                  </pic:nvPicPr>
                  <pic:blipFill>
                    <a:blip r:embed="rId28"/>
                    <a:stretch>
                      <a:fillRect/>
                    </a:stretch>
                  </pic:blipFill>
                  <pic:spPr>
                    <a:xfrm>
                      <a:off x="0" y="0"/>
                      <a:ext cx="2695575" cy="3039745"/>
                    </a:xfrm>
                    <a:prstGeom prst="rect">
                      <a:avLst/>
                    </a:prstGeom>
                    <a:noFill/>
                    <a:ln w="9525">
                      <a:noFill/>
                    </a:ln>
                  </pic:spPr>
                </pic:pic>
              </a:graphicData>
            </a:graphic>
          </wp:inline>
        </w:drawing>
      </w:r>
    </w:p>
    <w:p>
      <w:pPr>
        <w:keepNext w:val="0"/>
        <w:keepLines w:val="0"/>
        <w:widowControl/>
        <w:suppressLineNumbers w:val="0"/>
        <w:jc w:val="left"/>
      </w:pPr>
    </w:p>
    <w:p>
      <w:pPr>
        <w:keepNext w:val="0"/>
        <w:keepLines w:val="0"/>
        <w:widowControl/>
        <w:suppressLineNumbers w:val="0"/>
        <w:jc w:val="left"/>
        <w:rPr>
          <w:rFonts w:hint="default"/>
          <w:lang w:val="en-US" w:eastAsia="zh-CN"/>
        </w:rPr>
      </w:pP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5228590" cy="3858260"/>
            <wp:effectExtent l="0" t="0" r="10160" b="8890"/>
            <wp:docPr id="25" name="图片 14"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25" name="图片 14" descr="IMG_256"/>
                    <pic:cNvPicPr>
                      <a:picLocks noChangeAspect="true"/>
                    </pic:cNvPicPr>
                  </pic:nvPicPr>
                  <pic:blipFill>
                    <a:blip r:embed="rId29"/>
                    <a:stretch>
                      <a:fillRect/>
                    </a:stretch>
                  </pic:blipFill>
                  <pic:spPr>
                    <a:xfrm>
                      <a:off x="0" y="0"/>
                      <a:ext cx="5228590" cy="3858260"/>
                    </a:xfrm>
                    <a:prstGeom prst="rect">
                      <a:avLst/>
                    </a:prstGeom>
                    <a:noFill/>
                    <a:ln w="9525">
                      <a:noFill/>
                    </a:ln>
                  </pic:spPr>
                </pic:pic>
              </a:graphicData>
            </a:graphic>
          </wp:inline>
        </w:drawing>
      </w: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5219700" cy="4124960"/>
            <wp:effectExtent l="0" t="0" r="0" b="8890"/>
            <wp:docPr id="26" name="图片 15"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26" name="图片 15" descr="IMG_256"/>
                    <pic:cNvPicPr>
                      <a:picLocks noChangeAspect="true"/>
                    </pic:cNvPicPr>
                  </pic:nvPicPr>
                  <pic:blipFill>
                    <a:blip r:embed="rId30"/>
                    <a:stretch>
                      <a:fillRect/>
                    </a:stretch>
                  </pic:blipFill>
                  <pic:spPr>
                    <a:xfrm>
                      <a:off x="0" y="0"/>
                      <a:ext cx="5219700" cy="4124960"/>
                    </a:xfrm>
                    <a:prstGeom prst="rect">
                      <a:avLst/>
                    </a:prstGeom>
                    <a:noFill/>
                    <a:ln w="9525">
                      <a:noFill/>
                    </a:ln>
                  </pic:spPr>
                </pic:pic>
              </a:graphicData>
            </a:graphic>
          </wp:inline>
        </w:drawing>
      </w:r>
    </w:p>
    <w:p>
      <w:pPr>
        <w:keepNext w:val="0"/>
        <w:keepLines w:val="0"/>
        <w:widowControl/>
        <w:suppressLineNumbers w:val="0"/>
        <w:jc w:val="left"/>
        <w:rPr>
          <w:rFonts w:hint="default"/>
          <w:lang w:val="en-US" w:eastAsia="zh-CN"/>
        </w:rPr>
      </w:pPr>
    </w:p>
    <w:p>
      <w:pPr>
        <w:keepNext w:val="0"/>
        <w:keepLines w:val="0"/>
        <w:widowControl/>
        <w:suppressLineNumbers w:val="0"/>
        <w:ind w:left="0" w:leftChars="0" w:firstLine="0" w:firstLineChars="0"/>
        <w:jc w:val="left"/>
        <w:rPr>
          <w:rFonts w:ascii="宋体" w:hAnsi="宋体" w:eastAsia="宋体" w:cs="宋体"/>
          <w:kern w:val="0"/>
          <w:sz w:val="24"/>
          <w:szCs w:val="24"/>
          <w:lang w:val="en-US" w:eastAsia="zh-CN" w:bidi="ar"/>
        </w:rPr>
      </w:pPr>
    </w:p>
    <w:p>
      <w:pPr>
        <w:keepNext w:val="0"/>
        <w:keepLines w:val="0"/>
        <w:widowControl/>
        <w:suppressLineNumbers w:val="0"/>
        <w:jc w:val="left"/>
        <w:rPr>
          <w:rFonts w:ascii="宋体" w:hAnsi="宋体" w:eastAsia="宋体" w:cs="宋体"/>
          <w:kern w:val="0"/>
          <w:sz w:val="24"/>
          <w:szCs w:val="24"/>
          <w:lang w:val="en-US" w:eastAsia="zh-CN" w:bidi="ar"/>
        </w:rPr>
      </w:pPr>
      <w:r>
        <w:rPr>
          <w:rFonts w:ascii="宋体" w:hAnsi="宋体" w:eastAsia="宋体" w:cs="宋体"/>
          <w:kern w:val="0"/>
          <w:sz w:val="24"/>
          <w:szCs w:val="24"/>
          <w:lang w:val="en-US" w:eastAsia="zh-CN" w:bidi="ar"/>
        </w:rPr>
        <w:drawing>
          <wp:inline distT="0" distB="0" distL="114300" distR="114300">
            <wp:extent cx="5019040" cy="3868420"/>
            <wp:effectExtent l="0" t="0" r="10160" b="17780"/>
            <wp:docPr id="27" name="图片 16"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27" name="图片 16" descr="IMG_256"/>
                    <pic:cNvPicPr>
                      <a:picLocks noChangeAspect="true"/>
                    </pic:cNvPicPr>
                  </pic:nvPicPr>
                  <pic:blipFill>
                    <a:blip r:embed="rId31"/>
                    <a:stretch>
                      <a:fillRect/>
                    </a:stretch>
                  </pic:blipFill>
                  <pic:spPr>
                    <a:xfrm>
                      <a:off x="0" y="0"/>
                      <a:ext cx="5019040" cy="3868420"/>
                    </a:xfrm>
                    <a:prstGeom prst="rect">
                      <a:avLst/>
                    </a:prstGeom>
                    <a:noFill/>
                    <a:ln w="9525">
                      <a:noFill/>
                    </a:ln>
                  </pic:spPr>
                </pic:pic>
              </a:graphicData>
            </a:graphic>
          </wp:inline>
        </w:drawing>
      </w: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5019040" cy="4305300"/>
            <wp:effectExtent l="0" t="0" r="10160" b="0"/>
            <wp:docPr id="28" name="图片 17"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28" name="图片 17" descr="IMG_256"/>
                    <pic:cNvPicPr>
                      <a:picLocks noChangeAspect="true"/>
                    </pic:cNvPicPr>
                  </pic:nvPicPr>
                  <pic:blipFill>
                    <a:blip r:embed="rId32"/>
                    <a:stretch>
                      <a:fillRect/>
                    </a:stretch>
                  </pic:blipFill>
                  <pic:spPr>
                    <a:xfrm>
                      <a:off x="0" y="0"/>
                      <a:ext cx="5019040" cy="4305300"/>
                    </a:xfrm>
                    <a:prstGeom prst="rect">
                      <a:avLst/>
                    </a:prstGeom>
                    <a:noFill/>
                    <a:ln w="9525">
                      <a:noFill/>
                    </a:ln>
                  </pic:spPr>
                </pic:pic>
              </a:graphicData>
            </a:graphic>
          </wp:inline>
        </w:drawing>
      </w:r>
    </w:p>
    <w:p>
      <w:pPr>
        <w:keepNext w:val="0"/>
        <w:keepLines w:val="0"/>
        <w:widowControl/>
        <w:suppressLineNumbers w:val="0"/>
        <w:jc w:val="left"/>
        <w:rPr>
          <w:rFonts w:hint="default"/>
          <w:lang w:val="en-US" w:eastAsia="zh-CN"/>
        </w:rPr>
      </w:pP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2981960" cy="2256790"/>
            <wp:effectExtent l="0" t="0" r="8890" b="10160"/>
            <wp:docPr id="29" name="图片 18"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29" name="图片 18" descr="IMG_256"/>
                    <pic:cNvPicPr>
                      <a:picLocks noChangeAspect="true"/>
                    </pic:cNvPicPr>
                  </pic:nvPicPr>
                  <pic:blipFill>
                    <a:blip r:embed="rId33"/>
                    <a:stretch>
                      <a:fillRect/>
                    </a:stretch>
                  </pic:blipFill>
                  <pic:spPr>
                    <a:xfrm>
                      <a:off x="0" y="0"/>
                      <a:ext cx="2981960" cy="2256790"/>
                    </a:xfrm>
                    <a:prstGeom prst="rect">
                      <a:avLst/>
                    </a:prstGeom>
                    <a:noFill/>
                    <a:ln w="9525">
                      <a:noFill/>
                    </a:ln>
                  </pic:spPr>
                </pic:pic>
              </a:graphicData>
            </a:graphic>
          </wp:inline>
        </w:drawing>
      </w:r>
      <w:r>
        <w:rPr>
          <w:rFonts w:ascii="宋体" w:hAnsi="宋体" w:eastAsia="宋体" w:cs="宋体"/>
          <w:kern w:val="0"/>
          <w:sz w:val="24"/>
          <w:szCs w:val="24"/>
          <w:lang w:val="en-US" w:eastAsia="zh-CN" w:bidi="ar"/>
        </w:rPr>
        <w:drawing>
          <wp:inline distT="0" distB="0" distL="114300" distR="114300">
            <wp:extent cx="1924050" cy="2262505"/>
            <wp:effectExtent l="0" t="0" r="0" b="4445"/>
            <wp:docPr id="30" name="图片 19"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30" name="图片 19" descr="IMG_256"/>
                    <pic:cNvPicPr>
                      <a:picLocks noChangeAspect="true"/>
                    </pic:cNvPicPr>
                  </pic:nvPicPr>
                  <pic:blipFill>
                    <a:blip r:embed="rId34"/>
                    <a:stretch>
                      <a:fillRect/>
                    </a:stretch>
                  </pic:blipFill>
                  <pic:spPr>
                    <a:xfrm>
                      <a:off x="0" y="0"/>
                      <a:ext cx="1924050" cy="2262505"/>
                    </a:xfrm>
                    <a:prstGeom prst="rect">
                      <a:avLst/>
                    </a:prstGeom>
                    <a:noFill/>
                    <a:ln w="9525">
                      <a:noFill/>
                    </a:ln>
                  </pic:spPr>
                </pic:pic>
              </a:graphicData>
            </a:graphic>
          </wp:inline>
        </w:drawing>
      </w: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4934585" cy="2628900"/>
            <wp:effectExtent l="0" t="0" r="18415" b="0"/>
            <wp:docPr id="31" name="图片 20"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31" name="图片 20" descr="IMG_256"/>
                    <pic:cNvPicPr>
                      <a:picLocks noChangeAspect="true"/>
                    </pic:cNvPicPr>
                  </pic:nvPicPr>
                  <pic:blipFill>
                    <a:blip r:embed="rId35"/>
                    <a:stretch>
                      <a:fillRect/>
                    </a:stretch>
                  </pic:blipFill>
                  <pic:spPr>
                    <a:xfrm>
                      <a:off x="0" y="0"/>
                      <a:ext cx="4934585" cy="2628900"/>
                    </a:xfrm>
                    <a:prstGeom prst="rect">
                      <a:avLst/>
                    </a:prstGeom>
                    <a:noFill/>
                    <a:ln w="9525">
                      <a:noFill/>
                    </a:ln>
                  </pic:spPr>
                </pic:pic>
              </a:graphicData>
            </a:graphic>
          </wp:inline>
        </w:drawing>
      </w: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4952365" cy="2686050"/>
            <wp:effectExtent l="0" t="0" r="635" b="0"/>
            <wp:docPr id="32" name="图片 21"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32" name="图片 21" descr="IMG_256"/>
                    <pic:cNvPicPr>
                      <a:picLocks noChangeAspect="true"/>
                    </pic:cNvPicPr>
                  </pic:nvPicPr>
                  <pic:blipFill>
                    <a:blip r:embed="rId36"/>
                    <a:stretch>
                      <a:fillRect/>
                    </a:stretch>
                  </pic:blipFill>
                  <pic:spPr>
                    <a:xfrm>
                      <a:off x="0" y="0"/>
                      <a:ext cx="4952365" cy="2686050"/>
                    </a:xfrm>
                    <a:prstGeom prst="rect">
                      <a:avLst/>
                    </a:prstGeom>
                    <a:noFill/>
                    <a:ln w="9525">
                      <a:noFill/>
                    </a:ln>
                  </pic:spPr>
                </pic:pic>
              </a:graphicData>
            </a:graphic>
          </wp:inline>
        </w:drawing>
      </w:r>
    </w:p>
    <w:p>
      <w:pPr>
        <w:keepNext w:val="0"/>
        <w:keepLines w:val="0"/>
        <w:widowControl/>
        <w:suppressLineNumbers w:val="0"/>
        <w:jc w:val="left"/>
      </w:pPr>
    </w:p>
    <w:p>
      <w:pPr>
        <w:keepNext w:val="0"/>
        <w:keepLines w:val="0"/>
        <w:widowControl/>
        <w:suppressLineNumbers w:val="0"/>
        <w:jc w:val="left"/>
      </w:pP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5418455" cy="3955415"/>
            <wp:effectExtent l="0" t="0" r="10795" b="6985"/>
            <wp:docPr id="10" name="图片 5"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10" name="图片 5" descr="IMG_256"/>
                    <pic:cNvPicPr>
                      <a:picLocks noChangeAspect="true"/>
                    </pic:cNvPicPr>
                  </pic:nvPicPr>
                  <pic:blipFill>
                    <a:blip r:embed="rId37"/>
                    <a:stretch>
                      <a:fillRect/>
                    </a:stretch>
                  </pic:blipFill>
                  <pic:spPr>
                    <a:xfrm>
                      <a:off x="0" y="0"/>
                      <a:ext cx="5418455" cy="3955415"/>
                    </a:xfrm>
                    <a:prstGeom prst="rect">
                      <a:avLst/>
                    </a:prstGeom>
                    <a:noFill/>
                    <a:ln w="9525">
                      <a:noFill/>
                    </a:ln>
                  </pic:spPr>
                </pic:pic>
              </a:graphicData>
            </a:graphic>
          </wp:inline>
        </w:drawing>
      </w:r>
    </w:p>
    <w:p>
      <w:pPr>
        <w:keepNext w:val="0"/>
        <w:keepLines w:val="0"/>
        <w:widowControl/>
        <w:suppressLineNumbers w:val="0"/>
        <w:jc w:val="left"/>
      </w:pP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5414010" cy="4345940"/>
            <wp:effectExtent l="0" t="0" r="15240" b="16510"/>
            <wp:docPr id="35" name="图片 24"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35" name="图片 24" descr="IMG_256"/>
                    <pic:cNvPicPr>
                      <a:picLocks noChangeAspect="true"/>
                    </pic:cNvPicPr>
                  </pic:nvPicPr>
                  <pic:blipFill>
                    <a:blip r:embed="rId38"/>
                    <a:stretch>
                      <a:fillRect/>
                    </a:stretch>
                  </pic:blipFill>
                  <pic:spPr>
                    <a:xfrm>
                      <a:off x="0" y="0"/>
                      <a:ext cx="5414010" cy="4345940"/>
                    </a:xfrm>
                    <a:prstGeom prst="rect">
                      <a:avLst/>
                    </a:prstGeom>
                    <a:noFill/>
                    <a:ln w="9525">
                      <a:noFill/>
                    </a:ln>
                  </pic:spPr>
                </pic:pic>
              </a:graphicData>
            </a:graphic>
          </wp:inline>
        </w:drawing>
      </w:r>
    </w:p>
    <w:p>
      <w:pPr>
        <w:keepNext w:val="0"/>
        <w:keepLines w:val="0"/>
        <w:widowControl/>
        <w:suppressLineNumbers w:val="0"/>
        <w:jc w:val="left"/>
      </w:pPr>
    </w:p>
    <w:p>
      <w:pPr>
        <w:keepNext w:val="0"/>
        <w:keepLines w:val="0"/>
        <w:widowControl/>
        <w:suppressLineNumbers w:val="0"/>
        <w:jc w:val="left"/>
        <w:rPr>
          <w:rFonts w:ascii="宋体" w:hAnsi="宋体" w:eastAsia="宋体" w:cs="宋体"/>
          <w:kern w:val="0"/>
          <w:sz w:val="24"/>
          <w:szCs w:val="24"/>
          <w:lang w:val="en-US" w:eastAsia="zh-CN" w:bidi="ar"/>
        </w:rPr>
      </w:pPr>
    </w:p>
    <w:p>
      <w:pPr>
        <w:keepNext w:val="0"/>
        <w:keepLines w:val="0"/>
        <w:widowControl/>
        <w:suppressLineNumbers w:val="0"/>
        <w:ind w:left="0" w:leftChars="0" w:firstLine="0" w:firstLineChars="0"/>
        <w:jc w:val="left"/>
      </w:pPr>
      <w:r>
        <w:rPr>
          <w:rFonts w:hint="eastAsia" w:ascii="宋体" w:hAnsi="宋体" w:cs="宋体"/>
          <w:kern w:val="0"/>
          <w:sz w:val="24"/>
          <w:szCs w:val="24"/>
          <w:lang w:val="en-US" w:eastAsia="zh-CN" w:bidi="ar"/>
        </w:rPr>
        <w:t xml:space="preserve">     </w:t>
      </w:r>
      <w:r>
        <w:rPr>
          <w:rFonts w:ascii="宋体" w:hAnsi="宋体" w:eastAsia="宋体" w:cs="宋体"/>
          <w:kern w:val="0"/>
          <w:sz w:val="24"/>
          <w:szCs w:val="24"/>
          <w:lang w:val="en-US" w:eastAsia="zh-CN" w:bidi="ar"/>
        </w:rPr>
        <w:drawing>
          <wp:inline distT="0" distB="0" distL="114300" distR="114300">
            <wp:extent cx="5800090" cy="3801110"/>
            <wp:effectExtent l="0" t="0" r="10160" b="8890"/>
            <wp:docPr id="11" name="图片 6"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11" name="图片 6" descr="IMG_256"/>
                    <pic:cNvPicPr>
                      <a:picLocks noChangeAspect="true"/>
                    </pic:cNvPicPr>
                  </pic:nvPicPr>
                  <pic:blipFill>
                    <a:blip r:embed="rId39"/>
                    <a:stretch>
                      <a:fillRect/>
                    </a:stretch>
                  </pic:blipFill>
                  <pic:spPr>
                    <a:xfrm>
                      <a:off x="0" y="0"/>
                      <a:ext cx="5800090" cy="3801110"/>
                    </a:xfrm>
                    <a:prstGeom prst="rect">
                      <a:avLst/>
                    </a:prstGeom>
                    <a:noFill/>
                    <a:ln w="9525">
                      <a:noFill/>
                    </a:ln>
                  </pic:spPr>
                </pic:pic>
              </a:graphicData>
            </a:graphic>
          </wp:inline>
        </w:drawing>
      </w:r>
      <w:r>
        <w:rPr>
          <w:rFonts w:ascii="宋体" w:hAnsi="宋体" w:eastAsia="宋体" w:cs="宋体"/>
          <w:kern w:val="0"/>
          <w:sz w:val="24"/>
          <w:szCs w:val="24"/>
          <w:lang w:val="en-US" w:eastAsia="zh-CN" w:bidi="ar"/>
        </w:rPr>
        <w:drawing>
          <wp:inline distT="0" distB="0" distL="114300" distR="114300">
            <wp:extent cx="5771515" cy="4000500"/>
            <wp:effectExtent l="0" t="0" r="635" b="0"/>
            <wp:docPr id="37" name="图片 26"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37" name="图片 26" descr="IMG_256"/>
                    <pic:cNvPicPr>
                      <a:picLocks noChangeAspect="true"/>
                    </pic:cNvPicPr>
                  </pic:nvPicPr>
                  <pic:blipFill>
                    <a:blip r:embed="rId40"/>
                    <a:stretch>
                      <a:fillRect/>
                    </a:stretch>
                  </pic:blipFill>
                  <pic:spPr>
                    <a:xfrm>
                      <a:off x="0" y="0"/>
                      <a:ext cx="5771515" cy="4000500"/>
                    </a:xfrm>
                    <a:prstGeom prst="rect">
                      <a:avLst/>
                    </a:prstGeom>
                    <a:noFill/>
                    <a:ln w="9525">
                      <a:noFill/>
                    </a:ln>
                  </pic:spPr>
                </pic:pic>
              </a:graphicData>
            </a:graphic>
          </wp:inline>
        </w:drawing>
      </w:r>
    </w:p>
    <w:p>
      <w:pPr>
        <w:pStyle w:val="4"/>
        <w:numPr>
          <w:ilvl w:val="0"/>
          <w:numId w:val="0"/>
        </w:numPr>
        <w:tabs>
          <w:tab w:val="left" w:pos="1959"/>
          <w:tab w:val="center" w:pos="5126"/>
        </w:tabs>
        <w:spacing w:line="600" w:lineRule="exact"/>
        <w:ind w:firstLine="1686" w:firstLineChars="600"/>
        <w:jc w:val="left"/>
        <w:rPr>
          <w:rFonts w:hint="eastAsia" w:ascii="Times New Roman" w:hAnsi="Times New Roman" w:eastAsia="仿宋"/>
          <w:b/>
          <w:bCs/>
          <w:color w:val="000000"/>
          <w:sz w:val="28"/>
          <w:szCs w:val="28"/>
          <w:lang w:val="en-US" w:eastAsia="zh-CN"/>
        </w:rPr>
      </w:pPr>
      <w:r>
        <w:rPr>
          <w:rFonts w:hint="eastAsia" w:ascii="Times New Roman" w:hAnsi="Times New Roman" w:eastAsia="仿宋"/>
          <w:b/>
          <w:bCs/>
          <w:color w:val="000000"/>
          <w:sz w:val="28"/>
          <w:szCs w:val="28"/>
          <w:lang w:val="en-US" w:eastAsia="zh-CN"/>
        </w:rPr>
        <w:t>第七章</w:t>
      </w:r>
      <w:r>
        <w:rPr>
          <w:rFonts w:hint="eastAsia" w:ascii="Times New Roman" w:hAnsi="Times New Roman" w:eastAsia="仿宋"/>
          <w:b/>
          <w:bCs/>
          <w:color w:val="000000"/>
          <w:sz w:val="28"/>
          <w:szCs w:val="28"/>
        </w:rPr>
        <w:t>项目建设</w:t>
      </w:r>
      <w:r>
        <w:rPr>
          <w:rFonts w:hint="eastAsia" w:ascii="Times New Roman" w:hAnsi="Times New Roman" w:eastAsia="仿宋"/>
          <w:b/>
          <w:bCs/>
          <w:color w:val="000000"/>
          <w:sz w:val="28"/>
          <w:szCs w:val="28"/>
          <w:lang w:val="en-US" w:eastAsia="zh-CN"/>
        </w:rPr>
        <w:t>估算</w:t>
      </w:r>
    </w:p>
    <w:p>
      <w:pPr>
        <w:numPr>
          <w:ilvl w:val="0"/>
          <w:numId w:val="2"/>
        </w:numPr>
        <w:rPr>
          <w:rFonts w:hint="eastAsia"/>
          <w:lang w:val="en-US" w:eastAsia="zh-CN"/>
        </w:rPr>
      </w:pPr>
      <w:r>
        <w:rPr>
          <w:rFonts w:hint="eastAsia"/>
          <w:lang w:val="en-US" w:eastAsia="zh-CN"/>
        </w:rPr>
        <w:t>改建卫生间估算</w:t>
      </w:r>
    </w:p>
    <w:p>
      <w:pPr>
        <w:numPr>
          <w:ilvl w:val="0"/>
          <w:numId w:val="0"/>
        </w:numPr>
        <w:rPr>
          <w:rFonts w:hint="default"/>
          <w:lang w:val="en-US" w:eastAsia="zh-CN"/>
        </w:rPr>
      </w:pPr>
      <w:r>
        <w:rPr>
          <w:rFonts w:hint="eastAsia"/>
          <w:lang w:val="en-US" w:eastAsia="zh-CN"/>
        </w:rPr>
        <w:t xml:space="preserve">      1. 改建卫生间（砌筑一面墙体）</w:t>
      </w:r>
    </w:p>
    <w:p>
      <w:pPr>
        <w:spacing w:line="600" w:lineRule="exact"/>
        <w:ind w:firstLine="480"/>
        <w:jc w:val="right"/>
        <w:rPr>
          <w:rFonts w:ascii="Times New Roman" w:hAnsi="Times New Roman" w:eastAsia="仿宋"/>
          <w:color w:val="000000"/>
          <w:sz w:val="24"/>
          <w:szCs w:val="28"/>
        </w:rPr>
      </w:pPr>
      <w:r>
        <w:rPr>
          <w:rFonts w:ascii="Times New Roman" w:hAnsi="Times New Roman" w:eastAsia="仿宋"/>
          <w:color w:val="000000"/>
          <w:sz w:val="24"/>
          <w:szCs w:val="28"/>
        </w:rPr>
        <w:t xml:space="preserve"> </w:t>
      </w:r>
      <w:r>
        <w:rPr>
          <w:rFonts w:hint="eastAsia" w:ascii="Times New Roman" w:hAnsi="Times New Roman" w:eastAsia="仿宋"/>
          <w:color w:val="000000"/>
          <w:sz w:val="24"/>
          <w:szCs w:val="28"/>
        </w:rPr>
        <w:t>单位：元</w:t>
      </w:r>
    </w:p>
    <w:tbl>
      <w:tblPr>
        <w:tblStyle w:val="21"/>
        <w:tblW w:w="8507"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012"/>
        <w:gridCol w:w="2323"/>
        <w:gridCol w:w="1012"/>
        <w:gridCol w:w="1012"/>
        <w:gridCol w:w="1012"/>
        <w:gridCol w:w="1068"/>
        <w:gridCol w:w="106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50" w:hRule="atLeast"/>
        </w:trPr>
        <w:tc>
          <w:tcPr>
            <w:tcW w:w="1012" w:type="dxa"/>
            <w:vAlign w:val="center"/>
          </w:tcPr>
          <w:p>
            <w:pPr>
              <w:widowControl/>
              <w:ind w:firstLine="422"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序号</w:t>
            </w:r>
          </w:p>
        </w:tc>
        <w:tc>
          <w:tcPr>
            <w:tcW w:w="2323"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建设内容</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单位</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工程量</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lang w:val="en-US" w:eastAsia="zh-CN"/>
              </w:rPr>
              <w:t>综合</w:t>
            </w:r>
            <w:r>
              <w:rPr>
                <w:rFonts w:hint="eastAsia" w:ascii="仿宋" w:hAnsi="仿宋" w:eastAsia="仿宋" w:cs="宋体"/>
                <w:b/>
                <w:bCs/>
                <w:color w:val="000000"/>
                <w:kern w:val="0"/>
                <w:sz w:val="21"/>
                <w:szCs w:val="21"/>
              </w:rPr>
              <w:t>单价（元）</w:t>
            </w:r>
          </w:p>
        </w:tc>
        <w:tc>
          <w:tcPr>
            <w:tcW w:w="1068"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总投资（元）</w:t>
            </w:r>
          </w:p>
        </w:tc>
        <w:tc>
          <w:tcPr>
            <w:tcW w:w="1068" w:type="dxa"/>
            <w:vAlign w:val="center"/>
          </w:tcPr>
          <w:p>
            <w:pPr>
              <w:widowControl/>
              <w:ind w:firstLine="0" w:firstLineChars="0"/>
              <w:jc w:val="center"/>
              <w:rPr>
                <w:rFonts w:hint="eastAsia" w:ascii="仿宋" w:hAnsi="仿宋" w:eastAsia="仿宋" w:cs="宋体"/>
                <w:b/>
                <w:bCs/>
                <w:color w:val="000000"/>
                <w:kern w:val="0"/>
                <w:sz w:val="21"/>
                <w:szCs w:val="21"/>
                <w:lang w:val="en-US" w:eastAsia="zh-CN"/>
              </w:rPr>
            </w:pPr>
            <w:r>
              <w:rPr>
                <w:rFonts w:hint="eastAsia" w:ascii="仿宋" w:hAnsi="仿宋" w:eastAsia="仿宋" w:cs="宋体"/>
                <w:b/>
                <w:bCs/>
                <w:color w:val="000000"/>
                <w:kern w:val="0"/>
                <w:sz w:val="21"/>
                <w:szCs w:val="21"/>
                <w:lang w:val="en-US" w:eastAsia="zh-CN"/>
              </w:rPr>
              <w:t>备注</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一</w:t>
            </w:r>
          </w:p>
        </w:tc>
        <w:tc>
          <w:tcPr>
            <w:tcW w:w="2323"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rPr>
            </w:pPr>
            <w:r>
              <w:rPr>
                <w:rFonts w:hint="eastAsia" w:ascii="Times New Roman" w:hAnsi="Times New Roman"/>
                <w:b/>
                <w:bCs/>
                <w:color w:val="000000"/>
                <w:kern w:val="0"/>
                <w:sz w:val="21"/>
                <w:szCs w:val="21"/>
                <w:lang w:val="en-US" w:eastAsia="zh-CN"/>
              </w:rPr>
              <w:t>1286.1</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Times New Roman" w:hAnsi="Times New Roman"/>
                <w:color w:val="000000"/>
                <w:kern w:val="0"/>
                <w:sz w:val="21"/>
                <w:szCs w:val="21"/>
              </w:rPr>
            </w:pPr>
            <w:r>
              <w:rPr>
                <w:rFonts w:ascii="Times New Roman" w:hAnsi="Times New Roman"/>
                <w:color w:val="000000"/>
                <w:kern w:val="0"/>
                <w:sz w:val="21"/>
                <w:szCs w:val="21"/>
              </w:rPr>
              <w:t>1</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基础</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米</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2.1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64</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134.4</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含二次搬运等</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Times New Roman" w:hAnsi="Times New Roman"/>
                <w:color w:val="000000"/>
                <w:kern w:val="0"/>
                <w:sz w:val="21"/>
                <w:szCs w:val="21"/>
              </w:rPr>
            </w:pPr>
            <w:r>
              <w:rPr>
                <w:rFonts w:ascii="Times New Roman" w:hAnsi="Times New Roman"/>
                <w:color w:val="000000"/>
                <w:kern w:val="0"/>
                <w:sz w:val="21"/>
                <w:szCs w:val="21"/>
              </w:rPr>
              <w:t>2</w:t>
            </w:r>
          </w:p>
        </w:tc>
        <w:tc>
          <w:tcPr>
            <w:tcW w:w="2323" w:type="dxa"/>
            <w:vAlign w:val="center"/>
          </w:tcPr>
          <w:p>
            <w:pPr>
              <w:widowControl/>
              <w:ind w:firstLine="0" w:firstLineChars="0"/>
              <w:jc w:val="center"/>
              <w:rPr>
                <w:rFonts w:ascii="仿宋" w:hAnsi="仿宋" w:eastAsia="仿宋" w:cs="宋体"/>
                <w:color w:val="000000"/>
                <w:kern w:val="0"/>
                <w:sz w:val="21"/>
                <w:szCs w:val="21"/>
              </w:rPr>
            </w:pPr>
            <w:r>
              <w:rPr>
                <w:rFonts w:hint="eastAsia" w:ascii="仿宋" w:hAnsi="仿宋" w:eastAsia="仿宋" w:cs="宋体"/>
                <w:color w:val="000000"/>
                <w:kern w:val="0"/>
                <w:sz w:val="21"/>
                <w:szCs w:val="21"/>
                <w:lang w:val="en-US" w:eastAsia="zh-CN"/>
              </w:rPr>
              <w:t>墙体</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立方米</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0.834</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756</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630.5</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含材料、砌筑人工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Times New Roman" w:hAnsi="Times New Roman"/>
                <w:color w:val="000000"/>
                <w:kern w:val="0"/>
                <w:sz w:val="21"/>
                <w:szCs w:val="21"/>
              </w:rPr>
            </w:pPr>
            <w:r>
              <w:rPr>
                <w:rFonts w:ascii="Times New Roman" w:hAnsi="Times New Roman"/>
                <w:color w:val="000000"/>
                <w:kern w:val="0"/>
                <w:sz w:val="21"/>
                <w:szCs w:val="21"/>
              </w:rPr>
              <w:t>3</w:t>
            </w:r>
          </w:p>
        </w:tc>
        <w:tc>
          <w:tcPr>
            <w:tcW w:w="2323" w:type="dxa"/>
            <w:vAlign w:val="center"/>
          </w:tcPr>
          <w:p>
            <w:pPr>
              <w:widowControl/>
              <w:ind w:firstLine="0" w:firstLineChars="0"/>
              <w:jc w:val="center"/>
              <w:rPr>
                <w:rFonts w:ascii="仿宋" w:hAnsi="仿宋" w:eastAsia="仿宋" w:cs="宋体"/>
                <w:color w:val="000000"/>
                <w:kern w:val="0"/>
                <w:sz w:val="21"/>
                <w:szCs w:val="21"/>
              </w:rPr>
            </w:pPr>
            <w:r>
              <w:rPr>
                <w:rFonts w:hint="eastAsia" w:ascii="仿宋" w:hAnsi="仿宋" w:eastAsia="仿宋" w:cs="宋体"/>
                <w:color w:val="000000"/>
                <w:kern w:val="0"/>
                <w:sz w:val="21"/>
                <w:szCs w:val="21"/>
                <w:lang w:val="en-US" w:eastAsia="zh-CN"/>
              </w:rPr>
              <w:t>粉水</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平方米</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10.69</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19</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203.2</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ascii="Times New Roman" w:hAnsi="Times New Roman"/>
                <w:color w:val="000000"/>
                <w:kern w:val="0"/>
                <w:sz w:val="21"/>
                <w:szCs w:val="21"/>
              </w:rPr>
            </w:pPr>
            <w:r>
              <w:rPr>
                <w:rFonts w:ascii="Times New Roman" w:hAnsi="Times New Roman"/>
                <w:color w:val="000000"/>
                <w:kern w:val="0"/>
                <w:sz w:val="21"/>
                <w:szCs w:val="21"/>
              </w:rPr>
              <w:t>4</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蹲便器</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座</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100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100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ascii="Times New Roman" w:hAnsi="Times New Roman"/>
                <w:color w:val="000000"/>
                <w:kern w:val="0"/>
                <w:sz w:val="21"/>
                <w:szCs w:val="21"/>
              </w:rPr>
            </w:pPr>
            <w:r>
              <w:rPr>
                <w:rFonts w:ascii="Times New Roman" w:hAnsi="Times New Roman"/>
                <w:color w:val="000000"/>
                <w:kern w:val="0"/>
                <w:sz w:val="21"/>
                <w:szCs w:val="21"/>
              </w:rPr>
              <w:t>5</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冲洗水箱</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套</w:t>
            </w:r>
          </w:p>
        </w:tc>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58</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58</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6</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给排水整改</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60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60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7</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照明插座整改</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8</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恢复及垃圾清运</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二</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工程建设其他费用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128.61</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eastAsia="zh-CN"/>
              </w:rPr>
            </w:pPr>
            <w:r>
              <w:rPr>
                <w:rFonts w:hint="eastAsia" w:ascii="Times New Roman" w:hAnsi="Times New Roman"/>
                <w:b/>
                <w:bCs/>
                <w:color w:val="000000"/>
                <w:kern w:val="0"/>
                <w:sz w:val="21"/>
                <w:szCs w:val="21"/>
                <w:lang w:val="en-US" w:eastAsia="zh-CN"/>
              </w:rPr>
              <w:t>含临时设施费及税金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三</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合计</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1414.71</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bl>
    <w:p>
      <w:pPr>
        <w:numPr>
          <w:ilvl w:val="0"/>
          <w:numId w:val="0"/>
        </w:numPr>
        <w:rPr>
          <w:rFonts w:hint="default"/>
          <w:lang w:val="en-US" w:eastAsia="zh-CN"/>
        </w:rPr>
      </w:pPr>
      <w:r>
        <w:rPr>
          <w:rFonts w:hint="eastAsia"/>
          <w:lang w:val="en-US" w:eastAsia="zh-CN"/>
        </w:rPr>
        <w:t xml:space="preserve">   2. 改建卫生间（砌筑二面墙体）</w:t>
      </w:r>
    </w:p>
    <w:p>
      <w:pPr>
        <w:spacing w:line="600" w:lineRule="exact"/>
        <w:ind w:firstLine="480"/>
        <w:jc w:val="right"/>
        <w:rPr>
          <w:rFonts w:ascii="Times New Roman" w:hAnsi="Times New Roman" w:eastAsia="仿宋"/>
          <w:color w:val="000000"/>
          <w:sz w:val="24"/>
          <w:szCs w:val="28"/>
        </w:rPr>
      </w:pPr>
      <w:r>
        <w:rPr>
          <w:rFonts w:ascii="Times New Roman" w:hAnsi="Times New Roman" w:eastAsia="仿宋"/>
          <w:color w:val="000000"/>
          <w:sz w:val="24"/>
          <w:szCs w:val="28"/>
        </w:rPr>
        <w:t xml:space="preserve"> </w:t>
      </w:r>
      <w:r>
        <w:rPr>
          <w:rFonts w:hint="eastAsia" w:ascii="Times New Roman" w:hAnsi="Times New Roman" w:eastAsia="仿宋"/>
          <w:color w:val="000000"/>
          <w:sz w:val="24"/>
          <w:szCs w:val="28"/>
        </w:rPr>
        <w:t>单位：元</w:t>
      </w:r>
    </w:p>
    <w:tbl>
      <w:tblPr>
        <w:tblStyle w:val="21"/>
        <w:tblW w:w="8507"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012"/>
        <w:gridCol w:w="2323"/>
        <w:gridCol w:w="1012"/>
        <w:gridCol w:w="1012"/>
        <w:gridCol w:w="1012"/>
        <w:gridCol w:w="1068"/>
        <w:gridCol w:w="106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50" w:hRule="atLeast"/>
        </w:trPr>
        <w:tc>
          <w:tcPr>
            <w:tcW w:w="1012" w:type="dxa"/>
            <w:vAlign w:val="center"/>
          </w:tcPr>
          <w:p>
            <w:pPr>
              <w:widowControl/>
              <w:ind w:firstLine="422"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序号</w:t>
            </w:r>
          </w:p>
        </w:tc>
        <w:tc>
          <w:tcPr>
            <w:tcW w:w="2323"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建设内容</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单位</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工程量</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lang w:val="en-US" w:eastAsia="zh-CN"/>
              </w:rPr>
              <w:t>综合</w:t>
            </w:r>
            <w:r>
              <w:rPr>
                <w:rFonts w:hint="eastAsia" w:ascii="仿宋" w:hAnsi="仿宋" w:eastAsia="仿宋" w:cs="宋体"/>
                <w:b/>
                <w:bCs/>
                <w:color w:val="000000"/>
                <w:kern w:val="0"/>
                <w:sz w:val="21"/>
                <w:szCs w:val="21"/>
              </w:rPr>
              <w:t>单价（元）</w:t>
            </w:r>
          </w:p>
        </w:tc>
        <w:tc>
          <w:tcPr>
            <w:tcW w:w="1068"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总投资（元）</w:t>
            </w:r>
          </w:p>
        </w:tc>
        <w:tc>
          <w:tcPr>
            <w:tcW w:w="1068" w:type="dxa"/>
            <w:vAlign w:val="center"/>
          </w:tcPr>
          <w:p>
            <w:pPr>
              <w:widowControl/>
              <w:ind w:firstLine="0" w:firstLineChars="0"/>
              <w:jc w:val="center"/>
              <w:rPr>
                <w:rFonts w:hint="eastAsia" w:ascii="仿宋" w:hAnsi="仿宋" w:eastAsia="仿宋" w:cs="宋体"/>
                <w:b/>
                <w:bCs/>
                <w:color w:val="000000"/>
                <w:kern w:val="0"/>
                <w:sz w:val="21"/>
                <w:szCs w:val="21"/>
                <w:lang w:val="en-US" w:eastAsia="zh-CN"/>
              </w:rPr>
            </w:pPr>
            <w:r>
              <w:rPr>
                <w:rFonts w:hint="eastAsia" w:ascii="仿宋" w:hAnsi="仿宋" w:eastAsia="仿宋" w:cs="宋体"/>
                <w:b/>
                <w:bCs/>
                <w:color w:val="000000"/>
                <w:kern w:val="0"/>
                <w:sz w:val="21"/>
                <w:szCs w:val="21"/>
                <w:lang w:val="en-US" w:eastAsia="zh-CN"/>
              </w:rPr>
              <w:t>备注</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一</w:t>
            </w:r>
          </w:p>
        </w:tc>
        <w:tc>
          <w:tcPr>
            <w:tcW w:w="2323"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rPr>
            </w:pPr>
            <w:r>
              <w:rPr>
                <w:rFonts w:hint="eastAsia" w:ascii="Times New Roman" w:hAnsi="Times New Roman"/>
                <w:b/>
                <w:bCs/>
                <w:color w:val="000000"/>
                <w:kern w:val="0"/>
                <w:sz w:val="21"/>
                <w:szCs w:val="21"/>
                <w:lang w:val="en-US" w:eastAsia="zh-CN"/>
              </w:rPr>
              <w:t>2282.54</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Times New Roman" w:hAnsi="Times New Roman"/>
                <w:color w:val="000000"/>
                <w:kern w:val="0"/>
                <w:sz w:val="21"/>
                <w:szCs w:val="21"/>
              </w:rPr>
            </w:pPr>
            <w:r>
              <w:rPr>
                <w:rFonts w:ascii="Times New Roman" w:hAnsi="Times New Roman"/>
                <w:color w:val="000000"/>
                <w:kern w:val="0"/>
                <w:sz w:val="21"/>
                <w:szCs w:val="21"/>
              </w:rPr>
              <w:t>1</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基础</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米</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3.9</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64</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249.6</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含二次搬运等</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Times New Roman" w:hAnsi="Times New Roman"/>
                <w:color w:val="000000"/>
                <w:kern w:val="0"/>
                <w:sz w:val="21"/>
                <w:szCs w:val="21"/>
              </w:rPr>
            </w:pPr>
            <w:r>
              <w:rPr>
                <w:rFonts w:ascii="Times New Roman" w:hAnsi="Times New Roman"/>
                <w:color w:val="000000"/>
                <w:kern w:val="0"/>
                <w:sz w:val="21"/>
                <w:szCs w:val="21"/>
              </w:rPr>
              <w:t>2</w:t>
            </w:r>
          </w:p>
        </w:tc>
        <w:tc>
          <w:tcPr>
            <w:tcW w:w="2323" w:type="dxa"/>
            <w:vAlign w:val="center"/>
          </w:tcPr>
          <w:p>
            <w:pPr>
              <w:widowControl/>
              <w:ind w:firstLine="0" w:firstLineChars="0"/>
              <w:jc w:val="center"/>
              <w:rPr>
                <w:rFonts w:ascii="仿宋" w:hAnsi="仿宋" w:eastAsia="仿宋" w:cs="宋体"/>
                <w:color w:val="000000"/>
                <w:kern w:val="0"/>
                <w:sz w:val="21"/>
                <w:szCs w:val="21"/>
              </w:rPr>
            </w:pPr>
            <w:r>
              <w:rPr>
                <w:rFonts w:hint="eastAsia" w:ascii="仿宋" w:hAnsi="仿宋" w:eastAsia="仿宋" w:cs="宋体"/>
                <w:color w:val="000000"/>
                <w:kern w:val="0"/>
                <w:sz w:val="21"/>
                <w:szCs w:val="21"/>
                <w:lang w:val="en-US" w:eastAsia="zh-CN"/>
              </w:rPr>
              <w:t>墙体</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立方米</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1.806</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756</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1365.34</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含材料、砌筑人工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Times New Roman" w:hAnsi="Times New Roman"/>
                <w:color w:val="000000"/>
                <w:kern w:val="0"/>
                <w:sz w:val="21"/>
                <w:szCs w:val="21"/>
              </w:rPr>
            </w:pPr>
            <w:r>
              <w:rPr>
                <w:rFonts w:ascii="Times New Roman" w:hAnsi="Times New Roman"/>
                <w:color w:val="000000"/>
                <w:kern w:val="0"/>
                <w:sz w:val="21"/>
                <w:szCs w:val="21"/>
              </w:rPr>
              <w:t>3</w:t>
            </w:r>
          </w:p>
        </w:tc>
        <w:tc>
          <w:tcPr>
            <w:tcW w:w="2323" w:type="dxa"/>
            <w:vAlign w:val="center"/>
          </w:tcPr>
          <w:p>
            <w:pPr>
              <w:widowControl/>
              <w:ind w:firstLine="0" w:firstLineChars="0"/>
              <w:jc w:val="center"/>
              <w:rPr>
                <w:rFonts w:ascii="仿宋" w:hAnsi="仿宋" w:eastAsia="仿宋" w:cs="宋体"/>
                <w:color w:val="000000"/>
                <w:kern w:val="0"/>
                <w:sz w:val="21"/>
                <w:szCs w:val="21"/>
              </w:rPr>
            </w:pPr>
            <w:r>
              <w:rPr>
                <w:rFonts w:hint="eastAsia" w:ascii="仿宋" w:hAnsi="仿宋" w:eastAsia="仿宋" w:cs="宋体"/>
                <w:color w:val="000000"/>
                <w:kern w:val="0"/>
                <w:sz w:val="21"/>
                <w:szCs w:val="21"/>
                <w:lang w:val="en-US" w:eastAsia="zh-CN"/>
              </w:rPr>
              <w:t>粉水</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平方米</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18.4</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19</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349.6</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ascii="Times New Roman" w:hAnsi="Times New Roman"/>
                <w:color w:val="000000"/>
                <w:kern w:val="0"/>
                <w:sz w:val="21"/>
                <w:szCs w:val="21"/>
              </w:rPr>
            </w:pPr>
            <w:r>
              <w:rPr>
                <w:rFonts w:ascii="Times New Roman" w:hAnsi="Times New Roman"/>
                <w:color w:val="000000"/>
                <w:kern w:val="0"/>
                <w:sz w:val="21"/>
                <w:szCs w:val="21"/>
              </w:rPr>
              <w:t>4</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蹲便器</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座</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100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100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ascii="Times New Roman" w:hAnsi="Times New Roman"/>
                <w:color w:val="000000"/>
                <w:kern w:val="0"/>
                <w:sz w:val="21"/>
                <w:szCs w:val="21"/>
              </w:rPr>
            </w:pPr>
            <w:r>
              <w:rPr>
                <w:rFonts w:ascii="Times New Roman" w:hAnsi="Times New Roman"/>
                <w:color w:val="000000"/>
                <w:kern w:val="0"/>
                <w:sz w:val="21"/>
                <w:szCs w:val="21"/>
              </w:rPr>
              <w:t>5</w:t>
            </w:r>
          </w:p>
        </w:tc>
        <w:tc>
          <w:tcPr>
            <w:tcW w:w="2323" w:type="dxa"/>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冲洗水箱</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套</w:t>
            </w:r>
          </w:p>
        </w:tc>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58</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58</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6</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给排水整改</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60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60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7</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照明插座整改</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8</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恢复及垃圾清运</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二</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工程建设其他费用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228.25</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eastAsia="zh-CN"/>
              </w:rPr>
            </w:pPr>
            <w:r>
              <w:rPr>
                <w:rFonts w:hint="eastAsia" w:ascii="Times New Roman" w:hAnsi="Times New Roman"/>
                <w:b/>
                <w:bCs/>
                <w:color w:val="000000"/>
                <w:kern w:val="0"/>
                <w:sz w:val="21"/>
                <w:szCs w:val="21"/>
                <w:lang w:val="en-US" w:eastAsia="zh-CN"/>
              </w:rPr>
              <w:t>含临时设施费及税金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三</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合计</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2510.79</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bl>
    <w:p>
      <w:pPr>
        <w:numPr>
          <w:ilvl w:val="0"/>
          <w:numId w:val="2"/>
        </w:numPr>
        <w:rPr>
          <w:rFonts w:hint="eastAsia"/>
          <w:lang w:val="en-US" w:eastAsia="zh-CN"/>
        </w:rPr>
      </w:pPr>
      <w:r>
        <w:rPr>
          <w:rFonts w:hint="eastAsia"/>
          <w:lang w:val="en-US" w:eastAsia="zh-CN"/>
        </w:rPr>
        <w:t>新建卫生间估算</w:t>
      </w:r>
    </w:p>
    <w:p>
      <w:pPr>
        <w:spacing w:line="600" w:lineRule="exact"/>
        <w:ind w:firstLine="480"/>
        <w:jc w:val="right"/>
        <w:rPr>
          <w:rFonts w:ascii="Times New Roman" w:hAnsi="Times New Roman" w:eastAsia="仿宋"/>
          <w:color w:val="000000"/>
          <w:sz w:val="24"/>
          <w:szCs w:val="28"/>
        </w:rPr>
      </w:pPr>
      <w:r>
        <w:rPr>
          <w:rFonts w:ascii="Times New Roman" w:hAnsi="Times New Roman" w:eastAsia="仿宋"/>
          <w:color w:val="000000"/>
          <w:sz w:val="24"/>
          <w:szCs w:val="28"/>
        </w:rPr>
        <w:t xml:space="preserve"> </w:t>
      </w:r>
      <w:r>
        <w:rPr>
          <w:rFonts w:hint="eastAsia" w:ascii="Times New Roman" w:hAnsi="Times New Roman" w:eastAsia="仿宋"/>
          <w:color w:val="000000"/>
          <w:sz w:val="24"/>
          <w:szCs w:val="28"/>
        </w:rPr>
        <w:t>单位：元</w:t>
      </w:r>
    </w:p>
    <w:tbl>
      <w:tblPr>
        <w:tblStyle w:val="21"/>
        <w:tblW w:w="8507"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012"/>
        <w:gridCol w:w="2323"/>
        <w:gridCol w:w="1012"/>
        <w:gridCol w:w="1012"/>
        <w:gridCol w:w="1012"/>
        <w:gridCol w:w="1068"/>
        <w:gridCol w:w="106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50" w:hRule="atLeast"/>
        </w:trPr>
        <w:tc>
          <w:tcPr>
            <w:tcW w:w="1012" w:type="dxa"/>
            <w:vAlign w:val="center"/>
          </w:tcPr>
          <w:p>
            <w:pPr>
              <w:widowControl/>
              <w:ind w:firstLine="422"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序号</w:t>
            </w:r>
          </w:p>
        </w:tc>
        <w:tc>
          <w:tcPr>
            <w:tcW w:w="2323"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建设内容</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单位</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工程量</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lang w:val="en-US" w:eastAsia="zh-CN"/>
              </w:rPr>
              <w:t>综合</w:t>
            </w:r>
            <w:r>
              <w:rPr>
                <w:rFonts w:hint="eastAsia" w:ascii="仿宋" w:hAnsi="仿宋" w:eastAsia="仿宋" w:cs="宋体"/>
                <w:b/>
                <w:bCs/>
                <w:color w:val="000000"/>
                <w:kern w:val="0"/>
                <w:sz w:val="21"/>
                <w:szCs w:val="21"/>
              </w:rPr>
              <w:t>单价（元）</w:t>
            </w:r>
          </w:p>
        </w:tc>
        <w:tc>
          <w:tcPr>
            <w:tcW w:w="1068"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总投资（元）</w:t>
            </w:r>
          </w:p>
        </w:tc>
        <w:tc>
          <w:tcPr>
            <w:tcW w:w="1068" w:type="dxa"/>
            <w:vAlign w:val="center"/>
          </w:tcPr>
          <w:p>
            <w:pPr>
              <w:widowControl/>
              <w:ind w:firstLine="0" w:firstLineChars="0"/>
              <w:jc w:val="center"/>
              <w:rPr>
                <w:rFonts w:hint="eastAsia" w:ascii="仿宋" w:hAnsi="仿宋" w:eastAsia="仿宋" w:cs="宋体"/>
                <w:b/>
                <w:bCs/>
                <w:color w:val="000000"/>
                <w:kern w:val="0"/>
                <w:sz w:val="21"/>
                <w:szCs w:val="21"/>
                <w:lang w:val="en-US" w:eastAsia="zh-CN"/>
              </w:rPr>
            </w:pPr>
            <w:r>
              <w:rPr>
                <w:rFonts w:hint="eastAsia" w:ascii="仿宋" w:hAnsi="仿宋" w:eastAsia="仿宋" w:cs="宋体"/>
                <w:b/>
                <w:bCs/>
                <w:color w:val="000000"/>
                <w:kern w:val="0"/>
                <w:sz w:val="21"/>
                <w:szCs w:val="21"/>
                <w:lang w:val="en-US" w:eastAsia="zh-CN"/>
              </w:rPr>
              <w:t>备注</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一</w:t>
            </w:r>
          </w:p>
        </w:tc>
        <w:tc>
          <w:tcPr>
            <w:tcW w:w="2323"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rPr>
            </w:pPr>
            <w:r>
              <w:rPr>
                <w:rFonts w:hint="eastAsia" w:ascii="Times New Roman" w:hAnsi="Times New Roman"/>
                <w:b/>
                <w:bCs/>
                <w:color w:val="000000"/>
                <w:kern w:val="0"/>
                <w:sz w:val="21"/>
                <w:szCs w:val="21"/>
                <w:lang w:val="en-US" w:eastAsia="zh-CN"/>
              </w:rPr>
              <w:t>4990.27</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场地平整及基础开挖</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150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150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2</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基础</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米</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7.8</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64</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499.2</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含二次搬运等</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3</w:t>
            </w:r>
          </w:p>
        </w:tc>
        <w:tc>
          <w:tcPr>
            <w:tcW w:w="2323" w:type="dxa"/>
            <w:vAlign w:val="center"/>
          </w:tcPr>
          <w:p>
            <w:pPr>
              <w:widowControl/>
              <w:ind w:firstLine="0" w:firstLineChars="0"/>
              <w:jc w:val="center"/>
              <w:rPr>
                <w:rFonts w:ascii="仿宋" w:hAnsi="仿宋" w:eastAsia="仿宋" w:cs="宋体"/>
                <w:color w:val="000000"/>
                <w:kern w:val="0"/>
                <w:sz w:val="21"/>
                <w:szCs w:val="21"/>
              </w:rPr>
            </w:pPr>
            <w:r>
              <w:rPr>
                <w:rFonts w:hint="eastAsia" w:ascii="仿宋" w:hAnsi="仿宋" w:eastAsia="仿宋" w:cs="宋体"/>
                <w:color w:val="000000"/>
                <w:kern w:val="0"/>
                <w:sz w:val="21"/>
                <w:szCs w:val="21"/>
                <w:lang w:val="en-US" w:eastAsia="zh-CN"/>
              </w:rPr>
              <w:t>墙体</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立方米</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3.312</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756</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2503.87</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含材料、砌筑人工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4</w:t>
            </w:r>
          </w:p>
        </w:tc>
        <w:tc>
          <w:tcPr>
            <w:tcW w:w="2323" w:type="dxa"/>
            <w:vAlign w:val="center"/>
          </w:tcPr>
          <w:p>
            <w:pPr>
              <w:widowControl/>
              <w:ind w:firstLine="0" w:firstLineChars="0"/>
              <w:jc w:val="center"/>
              <w:rPr>
                <w:rFonts w:ascii="仿宋" w:hAnsi="仿宋" w:eastAsia="仿宋" w:cs="宋体"/>
                <w:color w:val="000000"/>
                <w:kern w:val="0"/>
                <w:sz w:val="21"/>
                <w:szCs w:val="21"/>
              </w:rPr>
            </w:pPr>
            <w:r>
              <w:rPr>
                <w:rFonts w:hint="eastAsia" w:ascii="仿宋" w:hAnsi="仿宋" w:eastAsia="仿宋" w:cs="宋体"/>
                <w:color w:val="000000"/>
                <w:kern w:val="0"/>
                <w:sz w:val="21"/>
                <w:szCs w:val="21"/>
                <w:lang w:val="en-US" w:eastAsia="zh-CN"/>
              </w:rPr>
              <w:t>粉水</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平方米</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36.8</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19</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699.2</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屋面现浇防水</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360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360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6</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蹲便器</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座</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100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100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7</w:t>
            </w:r>
          </w:p>
        </w:tc>
        <w:tc>
          <w:tcPr>
            <w:tcW w:w="2323" w:type="dxa"/>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冲洗水箱</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套</w:t>
            </w:r>
          </w:p>
        </w:tc>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58</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58</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8</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给排水整改</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60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60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9</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照明插座整改</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10</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恢复及垃圾清运</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二</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工程建设其他费用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499.03</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eastAsia="zh-CN"/>
              </w:rPr>
            </w:pPr>
            <w:r>
              <w:rPr>
                <w:rFonts w:hint="eastAsia" w:ascii="Times New Roman" w:hAnsi="Times New Roman"/>
                <w:b/>
                <w:bCs/>
                <w:color w:val="000000"/>
                <w:kern w:val="0"/>
                <w:sz w:val="21"/>
                <w:szCs w:val="21"/>
                <w:lang w:val="en-US" w:eastAsia="zh-CN"/>
              </w:rPr>
              <w:t>含临时设施费及税金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三</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合计</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5489.3</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bl>
    <w:p>
      <w:pPr>
        <w:numPr>
          <w:ilvl w:val="0"/>
          <w:numId w:val="2"/>
        </w:numPr>
        <w:rPr>
          <w:rFonts w:hint="eastAsia"/>
          <w:lang w:val="en-US" w:eastAsia="zh-CN"/>
        </w:rPr>
      </w:pPr>
      <w:r>
        <w:rPr>
          <w:rFonts w:hint="eastAsia"/>
          <w:lang w:val="en-US" w:eastAsia="zh-CN"/>
        </w:rPr>
        <w:t>整改原有粪池估算</w:t>
      </w:r>
    </w:p>
    <w:p>
      <w:pPr>
        <w:spacing w:line="600" w:lineRule="exact"/>
        <w:ind w:firstLine="480"/>
        <w:jc w:val="right"/>
        <w:rPr>
          <w:rFonts w:ascii="Times New Roman" w:hAnsi="Times New Roman" w:eastAsia="仿宋"/>
          <w:color w:val="000000"/>
          <w:sz w:val="24"/>
          <w:szCs w:val="28"/>
        </w:rPr>
      </w:pPr>
      <w:r>
        <w:rPr>
          <w:rFonts w:ascii="Times New Roman" w:hAnsi="Times New Roman" w:eastAsia="仿宋"/>
          <w:color w:val="000000"/>
          <w:sz w:val="24"/>
          <w:szCs w:val="28"/>
        </w:rPr>
        <w:t xml:space="preserve"> </w:t>
      </w:r>
      <w:r>
        <w:rPr>
          <w:rFonts w:hint="eastAsia" w:ascii="Times New Roman" w:hAnsi="Times New Roman" w:eastAsia="仿宋"/>
          <w:color w:val="000000"/>
          <w:sz w:val="24"/>
          <w:szCs w:val="28"/>
        </w:rPr>
        <w:t>单位：元</w:t>
      </w:r>
    </w:p>
    <w:tbl>
      <w:tblPr>
        <w:tblStyle w:val="21"/>
        <w:tblW w:w="8507"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012"/>
        <w:gridCol w:w="2323"/>
        <w:gridCol w:w="1012"/>
        <w:gridCol w:w="1012"/>
        <w:gridCol w:w="1012"/>
        <w:gridCol w:w="1068"/>
        <w:gridCol w:w="106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50" w:hRule="atLeast"/>
        </w:trPr>
        <w:tc>
          <w:tcPr>
            <w:tcW w:w="1012" w:type="dxa"/>
            <w:vAlign w:val="center"/>
          </w:tcPr>
          <w:p>
            <w:pPr>
              <w:widowControl/>
              <w:ind w:firstLine="422"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序号</w:t>
            </w:r>
          </w:p>
        </w:tc>
        <w:tc>
          <w:tcPr>
            <w:tcW w:w="2323"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建设内容</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单位</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工程量</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lang w:val="en-US" w:eastAsia="zh-CN"/>
              </w:rPr>
              <w:t>综合</w:t>
            </w:r>
            <w:r>
              <w:rPr>
                <w:rFonts w:hint="eastAsia" w:ascii="仿宋" w:hAnsi="仿宋" w:eastAsia="仿宋" w:cs="宋体"/>
                <w:b/>
                <w:bCs/>
                <w:color w:val="000000"/>
                <w:kern w:val="0"/>
                <w:sz w:val="21"/>
                <w:szCs w:val="21"/>
              </w:rPr>
              <w:t>单价（元）</w:t>
            </w:r>
          </w:p>
        </w:tc>
        <w:tc>
          <w:tcPr>
            <w:tcW w:w="1068"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总投资（元）</w:t>
            </w:r>
          </w:p>
        </w:tc>
        <w:tc>
          <w:tcPr>
            <w:tcW w:w="1068" w:type="dxa"/>
            <w:vAlign w:val="center"/>
          </w:tcPr>
          <w:p>
            <w:pPr>
              <w:widowControl/>
              <w:ind w:firstLine="0" w:firstLineChars="0"/>
              <w:jc w:val="center"/>
              <w:rPr>
                <w:rFonts w:hint="eastAsia" w:ascii="仿宋" w:hAnsi="仿宋" w:eastAsia="仿宋" w:cs="宋体"/>
                <w:b/>
                <w:bCs/>
                <w:color w:val="000000"/>
                <w:kern w:val="0"/>
                <w:sz w:val="21"/>
                <w:szCs w:val="21"/>
                <w:lang w:val="en-US" w:eastAsia="zh-CN"/>
              </w:rPr>
            </w:pPr>
            <w:r>
              <w:rPr>
                <w:rFonts w:hint="eastAsia" w:ascii="仿宋" w:hAnsi="仿宋" w:eastAsia="仿宋" w:cs="宋体"/>
                <w:b/>
                <w:bCs/>
                <w:color w:val="000000"/>
                <w:kern w:val="0"/>
                <w:sz w:val="21"/>
                <w:szCs w:val="21"/>
                <w:lang w:val="en-US" w:eastAsia="zh-CN"/>
              </w:rPr>
              <w:t>备注</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一</w:t>
            </w:r>
          </w:p>
        </w:tc>
        <w:tc>
          <w:tcPr>
            <w:tcW w:w="2323"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rPr>
            </w:pPr>
            <w:r>
              <w:rPr>
                <w:rFonts w:hint="eastAsia" w:ascii="Times New Roman" w:hAnsi="Times New Roman"/>
                <w:b/>
                <w:bCs/>
                <w:color w:val="000000"/>
                <w:kern w:val="0"/>
                <w:sz w:val="21"/>
                <w:szCs w:val="21"/>
                <w:lang w:val="en-US" w:eastAsia="zh-CN"/>
              </w:rPr>
              <w:t>260</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处理原有粪池上口部分</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2</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盖板制作及安装</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210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210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含材料、人工、二次搬运等</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二</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工程建设其他费用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26</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eastAsia="zh-CN"/>
              </w:rPr>
            </w:pPr>
            <w:r>
              <w:rPr>
                <w:rFonts w:hint="eastAsia" w:ascii="Times New Roman" w:hAnsi="Times New Roman"/>
                <w:b/>
                <w:bCs/>
                <w:color w:val="000000"/>
                <w:kern w:val="0"/>
                <w:sz w:val="21"/>
                <w:szCs w:val="21"/>
                <w:lang w:val="en-US" w:eastAsia="zh-CN"/>
              </w:rPr>
              <w:t>含临时设施费及税金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三</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合计</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286</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bl>
    <w:p>
      <w:pPr>
        <w:numPr>
          <w:ilvl w:val="0"/>
          <w:numId w:val="2"/>
        </w:numPr>
        <w:rPr>
          <w:rFonts w:hint="eastAsia"/>
          <w:lang w:val="en-US" w:eastAsia="zh-CN"/>
        </w:rPr>
      </w:pPr>
      <w:r>
        <w:rPr>
          <w:rFonts w:hint="eastAsia"/>
          <w:lang w:val="en-US" w:eastAsia="zh-CN"/>
        </w:rPr>
        <w:t>新建化粪池</w:t>
      </w:r>
      <w:r>
        <w:rPr>
          <w:rFonts w:hint="eastAsia" w:ascii="微软雅黑" w:hAnsi="微软雅黑" w:eastAsia="微软雅黑" w:cs="微软雅黑"/>
          <w:b w:val="0"/>
          <w:bCs/>
          <w:i w:val="0"/>
          <w:caps w:val="0"/>
          <w:color w:val="333333"/>
          <w:spacing w:val="0"/>
          <w:sz w:val="24"/>
          <w:szCs w:val="24"/>
          <w:shd w:val="clear" w:color="auto" w:fill="F5F5F5"/>
          <w:lang w:val="en-US" w:eastAsia="zh-CN"/>
        </w:rPr>
        <w:t>Z1-2SQF</w:t>
      </w:r>
      <w:r>
        <w:rPr>
          <w:rFonts w:hint="eastAsia"/>
          <w:lang w:val="en-US" w:eastAsia="zh-CN"/>
        </w:rPr>
        <w:t>估算</w:t>
      </w:r>
    </w:p>
    <w:p>
      <w:pPr>
        <w:spacing w:line="600" w:lineRule="exact"/>
        <w:ind w:firstLine="480"/>
        <w:jc w:val="right"/>
        <w:rPr>
          <w:rFonts w:ascii="Times New Roman" w:hAnsi="Times New Roman" w:eastAsia="仿宋"/>
          <w:color w:val="000000"/>
          <w:sz w:val="24"/>
          <w:szCs w:val="28"/>
        </w:rPr>
      </w:pPr>
      <w:r>
        <w:rPr>
          <w:rFonts w:ascii="Times New Roman" w:hAnsi="Times New Roman" w:eastAsia="仿宋"/>
          <w:color w:val="000000"/>
          <w:sz w:val="24"/>
          <w:szCs w:val="28"/>
        </w:rPr>
        <w:t xml:space="preserve"> </w:t>
      </w:r>
      <w:r>
        <w:rPr>
          <w:rFonts w:hint="eastAsia" w:ascii="Times New Roman" w:hAnsi="Times New Roman" w:eastAsia="仿宋"/>
          <w:color w:val="000000"/>
          <w:sz w:val="24"/>
          <w:szCs w:val="28"/>
        </w:rPr>
        <w:t>单位：元</w:t>
      </w:r>
    </w:p>
    <w:tbl>
      <w:tblPr>
        <w:tblStyle w:val="21"/>
        <w:tblW w:w="8507"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012"/>
        <w:gridCol w:w="2323"/>
        <w:gridCol w:w="1012"/>
        <w:gridCol w:w="1012"/>
        <w:gridCol w:w="1012"/>
        <w:gridCol w:w="1068"/>
        <w:gridCol w:w="106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50" w:hRule="atLeast"/>
        </w:trPr>
        <w:tc>
          <w:tcPr>
            <w:tcW w:w="1012" w:type="dxa"/>
            <w:vAlign w:val="center"/>
          </w:tcPr>
          <w:p>
            <w:pPr>
              <w:widowControl/>
              <w:ind w:firstLine="422"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序号</w:t>
            </w:r>
          </w:p>
        </w:tc>
        <w:tc>
          <w:tcPr>
            <w:tcW w:w="2323"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建设内容</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单位</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工程量</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lang w:val="en-US" w:eastAsia="zh-CN"/>
              </w:rPr>
              <w:t>综合</w:t>
            </w:r>
            <w:r>
              <w:rPr>
                <w:rFonts w:hint="eastAsia" w:ascii="仿宋" w:hAnsi="仿宋" w:eastAsia="仿宋" w:cs="宋体"/>
                <w:b/>
                <w:bCs/>
                <w:color w:val="000000"/>
                <w:kern w:val="0"/>
                <w:sz w:val="21"/>
                <w:szCs w:val="21"/>
              </w:rPr>
              <w:t>单价（元）</w:t>
            </w:r>
          </w:p>
        </w:tc>
        <w:tc>
          <w:tcPr>
            <w:tcW w:w="1068"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总投资（元）</w:t>
            </w:r>
          </w:p>
        </w:tc>
        <w:tc>
          <w:tcPr>
            <w:tcW w:w="1068" w:type="dxa"/>
            <w:vAlign w:val="center"/>
          </w:tcPr>
          <w:p>
            <w:pPr>
              <w:widowControl/>
              <w:ind w:firstLine="0" w:firstLineChars="0"/>
              <w:jc w:val="center"/>
              <w:rPr>
                <w:rFonts w:hint="eastAsia" w:ascii="仿宋" w:hAnsi="仿宋" w:eastAsia="仿宋" w:cs="宋体"/>
                <w:b/>
                <w:bCs/>
                <w:color w:val="000000"/>
                <w:kern w:val="0"/>
                <w:sz w:val="21"/>
                <w:szCs w:val="21"/>
                <w:lang w:val="en-US" w:eastAsia="zh-CN"/>
              </w:rPr>
            </w:pPr>
            <w:r>
              <w:rPr>
                <w:rFonts w:hint="eastAsia" w:ascii="仿宋" w:hAnsi="仿宋" w:eastAsia="仿宋" w:cs="宋体"/>
                <w:b/>
                <w:bCs/>
                <w:color w:val="000000"/>
                <w:kern w:val="0"/>
                <w:sz w:val="21"/>
                <w:szCs w:val="21"/>
                <w:lang w:val="en-US" w:eastAsia="zh-CN"/>
              </w:rPr>
              <w:t>备注</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一</w:t>
            </w:r>
          </w:p>
        </w:tc>
        <w:tc>
          <w:tcPr>
            <w:tcW w:w="2323"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rPr>
            </w:pPr>
            <w:r>
              <w:rPr>
                <w:rFonts w:hint="eastAsia" w:ascii="Times New Roman" w:hAnsi="Times New Roman"/>
                <w:b/>
                <w:bCs/>
                <w:color w:val="000000"/>
                <w:kern w:val="0"/>
                <w:sz w:val="21"/>
                <w:szCs w:val="21"/>
                <w:lang w:val="en-US" w:eastAsia="zh-CN"/>
              </w:rPr>
              <w:t>1258</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场地平整及基础开挖</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100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100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2</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基础</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360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360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含二次搬运等</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3</w:t>
            </w:r>
          </w:p>
        </w:tc>
        <w:tc>
          <w:tcPr>
            <w:tcW w:w="2323" w:type="dxa"/>
            <w:vAlign w:val="center"/>
          </w:tcPr>
          <w:p>
            <w:pPr>
              <w:widowControl/>
              <w:ind w:firstLine="0" w:firstLineChars="0"/>
              <w:jc w:val="center"/>
              <w:rPr>
                <w:rFonts w:hint="eastAsia"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主体</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420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420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含材料、砌筑人工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4</w:t>
            </w:r>
          </w:p>
        </w:tc>
        <w:tc>
          <w:tcPr>
            <w:tcW w:w="2323" w:type="dxa"/>
            <w:vAlign w:val="center"/>
          </w:tcPr>
          <w:p>
            <w:pPr>
              <w:widowControl/>
              <w:ind w:firstLine="0" w:firstLineChars="0"/>
              <w:jc w:val="center"/>
              <w:rPr>
                <w:rFonts w:ascii="仿宋" w:hAnsi="仿宋" w:eastAsia="仿宋" w:cs="宋体"/>
                <w:color w:val="000000"/>
                <w:kern w:val="0"/>
                <w:sz w:val="21"/>
                <w:szCs w:val="21"/>
              </w:rPr>
            </w:pPr>
            <w:r>
              <w:rPr>
                <w:rFonts w:hint="eastAsia" w:ascii="仿宋" w:hAnsi="仿宋" w:eastAsia="仿宋" w:cs="宋体"/>
                <w:color w:val="000000"/>
                <w:kern w:val="0"/>
                <w:sz w:val="21"/>
                <w:szCs w:val="21"/>
                <w:lang w:val="en-US" w:eastAsia="zh-CN"/>
              </w:rPr>
              <w:t>承重盖板</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168</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168</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粉水及防水处理</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160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160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6</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回填、恢复处理及垃圾清运</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二</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工程建设其他费用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125.8</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eastAsia="zh-CN"/>
              </w:rPr>
            </w:pPr>
            <w:r>
              <w:rPr>
                <w:rFonts w:hint="eastAsia" w:ascii="Times New Roman" w:hAnsi="Times New Roman"/>
                <w:b/>
                <w:bCs/>
                <w:color w:val="000000"/>
                <w:kern w:val="0"/>
                <w:sz w:val="21"/>
                <w:szCs w:val="21"/>
                <w:lang w:val="en-US" w:eastAsia="zh-CN"/>
              </w:rPr>
              <w:t>含临时设施费及税金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三</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合计</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1383.8</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bl>
    <w:p>
      <w:pPr>
        <w:numPr>
          <w:ilvl w:val="0"/>
          <w:numId w:val="2"/>
        </w:numPr>
        <w:rPr>
          <w:rFonts w:hint="eastAsia"/>
          <w:lang w:val="en-US" w:eastAsia="zh-CN"/>
        </w:rPr>
      </w:pPr>
      <w:r>
        <w:rPr>
          <w:rFonts w:hint="eastAsia"/>
          <w:lang w:val="en-US" w:eastAsia="zh-CN"/>
        </w:rPr>
        <w:t>新建化粪池</w:t>
      </w:r>
      <w:r>
        <w:rPr>
          <w:rFonts w:hint="eastAsia" w:ascii="微软雅黑" w:hAnsi="微软雅黑" w:eastAsia="微软雅黑" w:cs="微软雅黑"/>
          <w:b w:val="0"/>
          <w:bCs/>
          <w:i w:val="0"/>
          <w:caps w:val="0"/>
          <w:color w:val="333333"/>
          <w:spacing w:val="0"/>
          <w:sz w:val="24"/>
          <w:szCs w:val="24"/>
          <w:shd w:val="clear" w:color="auto" w:fill="F5F5F5"/>
          <w:lang w:val="en-US" w:eastAsia="zh-CN"/>
        </w:rPr>
        <w:t>Z2-4SQF</w:t>
      </w:r>
      <w:r>
        <w:rPr>
          <w:rFonts w:hint="eastAsia"/>
          <w:lang w:val="en-US" w:eastAsia="zh-CN"/>
        </w:rPr>
        <w:t>估算</w:t>
      </w:r>
    </w:p>
    <w:p>
      <w:pPr>
        <w:spacing w:line="600" w:lineRule="exact"/>
        <w:ind w:firstLine="480"/>
        <w:jc w:val="right"/>
        <w:rPr>
          <w:rFonts w:ascii="Times New Roman" w:hAnsi="Times New Roman" w:eastAsia="仿宋"/>
          <w:color w:val="000000"/>
          <w:sz w:val="24"/>
          <w:szCs w:val="28"/>
        </w:rPr>
      </w:pPr>
      <w:r>
        <w:rPr>
          <w:rFonts w:ascii="Times New Roman" w:hAnsi="Times New Roman" w:eastAsia="仿宋"/>
          <w:color w:val="000000"/>
          <w:sz w:val="24"/>
          <w:szCs w:val="28"/>
        </w:rPr>
        <w:t xml:space="preserve"> </w:t>
      </w:r>
      <w:r>
        <w:rPr>
          <w:rFonts w:hint="eastAsia" w:ascii="Times New Roman" w:hAnsi="Times New Roman" w:eastAsia="仿宋"/>
          <w:color w:val="000000"/>
          <w:sz w:val="24"/>
          <w:szCs w:val="28"/>
        </w:rPr>
        <w:t>单位：元</w:t>
      </w:r>
    </w:p>
    <w:tbl>
      <w:tblPr>
        <w:tblStyle w:val="21"/>
        <w:tblW w:w="8507"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012"/>
        <w:gridCol w:w="2323"/>
        <w:gridCol w:w="1012"/>
        <w:gridCol w:w="1012"/>
        <w:gridCol w:w="1012"/>
        <w:gridCol w:w="1068"/>
        <w:gridCol w:w="106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50" w:hRule="atLeast"/>
        </w:trPr>
        <w:tc>
          <w:tcPr>
            <w:tcW w:w="1012" w:type="dxa"/>
            <w:vAlign w:val="center"/>
          </w:tcPr>
          <w:p>
            <w:pPr>
              <w:widowControl/>
              <w:ind w:firstLine="422"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序号</w:t>
            </w:r>
          </w:p>
        </w:tc>
        <w:tc>
          <w:tcPr>
            <w:tcW w:w="2323"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建设内容</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单位</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工程量</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lang w:val="en-US" w:eastAsia="zh-CN"/>
              </w:rPr>
              <w:t>综合</w:t>
            </w:r>
            <w:r>
              <w:rPr>
                <w:rFonts w:hint="eastAsia" w:ascii="仿宋" w:hAnsi="仿宋" w:eastAsia="仿宋" w:cs="宋体"/>
                <w:b/>
                <w:bCs/>
                <w:color w:val="000000"/>
                <w:kern w:val="0"/>
                <w:sz w:val="21"/>
                <w:szCs w:val="21"/>
              </w:rPr>
              <w:t>单价（元）</w:t>
            </w:r>
          </w:p>
        </w:tc>
        <w:tc>
          <w:tcPr>
            <w:tcW w:w="1068"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总投资（元）</w:t>
            </w:r>
          </w:p>
        </w:tc>
        <w:tc>
          <w:tcPr>
            <w:tcW w:w="1068" w:type="dxa"/>
            <w:vAlign w:val="center"/>
          </w:tcPr>
          <w:p>
            <w:pPr>
              <w:widowControl/>
              <w:ind w:firstLine="0" w:firstLineChars="0"/>
              <w:jc w:val="center"/>
              <w:rPr>
                <w:rFonts w:hint="eastAsia" w:ascii="仿宋" w:hAnsi="仿宋" w:eastAsia="仿宋" w:cs="宋体"/>
                <w:b/>
                <w:bCs/>
                <w:color w:val="000000"/>
                <w:kern w:val="0"/>
                <w:sz w:val="21"/>
                <w:szCs w:val="21"/>
                <w:lang w:val="en-US" w:eastAsia="zh-CN"/>
              </w:rPr>
            </w:pPr>
            <w:r>
              <w:rPr>
                <w:rFonts w:hint="eastAsia" w:ascii="仿宋" w:hAnsi="仿宋" w:eastAsia="仿宋" w:cs="宋体"/>
                <w:b/>
                <w:bCs/>
                <w:color w:val="000000"/>
                <w:kern w:val="0"/>
                <w:sz w:val="21"/>
                <w:szCs w:val="21"/>
                <w:lang w:val="en-US" w:eastAsia="zh-CN"/>
              </w:rPr>
              <w:t>备注</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一</w:t>
            </w:r>
          </w:p>
        </w:tc>
        <w:tc>
          <w:tcPr>
            <w:tcW w:w="2323"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rPr>
            </w:pPr>
            <w:r>
              <w:rPr>
                <w:rFonts w:hint="eastAsia" w:ascii="Times New Roman" w:hAnsi="Times New Roman"/>
                <w:b/>
                <w:bCs/>
                <w:color w:val="000000"/>
                <w:kern w:val="0"/>
                <w:sz w:val="21"/>
                <w:szCs w:val="21"/>
                <w:lang w:val="en-US" w:eastAsia="zh-CN"/>
              </w:rPr>
              <w:t>1716</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场地平整及基础开挖</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120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120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2</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基础</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450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450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含二次搬运等</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3</w:t>
            </w:r>
          </w:p>
        </w:tc>
        <w:tc>
          <w:tcPr>
            <w:tcW w:w="2323" w:type="dxa"/>
            <w:vAlign w:val="center"/>
          </w:tcPr>
          <w:p>
            <w:pPr>
              <w:widowControl/>
              <w:ind w:firstLine="0" w:firstLineChars="0"/>
              <w:jc w:val="center"/>
              <w:rPr>
                <w:rFonts w:hint="eastAsia"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主体</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620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620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含材料、砌筑人工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4</w:t>
            </w:r>
          </w:p>
        </w:tc>
        <w:tc>
          <w:tcPr>
            <w:tcW w:w="2323" w:type="dxa"/>
            <w:vAlign w:val="center"/>
          </w:tcPr>
          <w:p>
            <w:pPr>
              <w:widowControl/>
              <w:ind w:firstLine="0" w:firstLineChars="0"/>
              <w:jc w:val="center"/>
              <w:rPr>
                <w:rFonts w:ascii="仿宋" w:hAnsi="仿宋" w:eastAsia="仿宋" w:cs="宋体"/>
                <w:color w:val="000000"/>
                <w:kern w:val="0"/>
                <w:sz w:val="21"/>
                <w:szCs w:val="21"/>
              </w:rPr>
            </w:pPr>
            <w:r>
              <w:rPr>
                <w:rFonts w:hint="eastAsia" w:ascii="仿宋" w:hAnsi="仿宋" w:eastAsia="仿宋" w:cs="宋体"/>
                <w:color w:val="000000"/>
                <w:kern w:val="0"/>
                <w:sz w:val="21"/>
                <w:szCs w:val="21"/>
                <w:lang w:val="en-US" w:eastAsia="zh-CN"/>
              </w:rPr>
              <w:t>承重盖板</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246</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246</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粉水及防水处理</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230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230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6</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回填、恢复处理及垃圾清运</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二</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工程建设其他费用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171.6</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eastAsia="zh-CN"/>
              </w:rPr>
            </w:pPr>
            <w:r>
              <w:rPr>
                <w:rFonts w:hint="eastAsia" w:ascii="Times New Roman" w:hAnsi="Times New Roman"/>
                <w:b/>
                <w:bCs/>
                <w:color w:val="000000"/>
                <w:kern w:val="0"/>
                <w:sz w:val="21"/>
                <w:szCs w:val="21"/>
                <w:lang w:val="en-US" w:eastAsia="zh-CN"/>
              </w:rPr>
              <w:t>含临时设施费及税金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三</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合计</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1887.6</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bl>
    <w:p>
      <w:pPr>
        <w:numPr>
          <w:ilvl w:val="0"/>
          <w:numId w:val="2"/>
        </w:numPr>
        <w:rPr>
          <w:rFonts w:hint="eastAsia"/>
          <w:lang w:val="en-US" w:eastAsia="zh-CN"/>
        </w:rPr>
      </w:pPr>
      <w:r>
        <w:rPr>
          <w:rFonts w:hint="eastAsia"/>
          <w:lang w:val="en-US" w:eastAsia="zh-CN"/>
        </w:rPr>
        <w:t>新建化粪池</w:t>
      </w:r>
      <w:r>
        <w:rPr>
          <w:rFonts w:hint="eastAsia" w:ascii="微软雅黑" w:hAnsi="微软雅黑" w:eastAsia="微软雅黑" w:cs="微软雅黑"/>
          <w:b w:val="0"/>
          <w:bCs/>
          <w:i w:val="0"/>
          <w:caps w:val="0"/>
          <w:color w:val="333333"/>
          <w:spacing w:val="0"/>
          <w:sz w:val="24"/>
          <w:szCs w:val="24"/>
          <w:shd w:val="clear" w:color="auto" w:fill="F5F5F5"/>
          <w:lang w:val="en-US" w:eastAsia="zh-CN"/>
        </w:rPr>
        <w:t>Z3-6SQF</w:t>
      </w:r>
      <w:r>
        <w:rPr>
          <w:rFonts w:hint="eastAsia"/>
          <w:lang w:val="en-US" w:eastAsia="zh-CN"/>
        </w:rPr>
        <w:t>估算</w:t>
      </w:r>
    </w:p>
    <w:p>
      <w:pPr>
        <w:spacing w:line="600" w:lineRule="exact"/>
        <w:ind w:firstLine="480"/>
        <w:jc w:val="right"/>
        <w:rPr>
          <w:rFonts w:ascii="Times New Roman" w:hAnsi="Times New Roman" w:eastAsia="仿宋"/>
          <w:color w:val="000000"/>
          <w:sz w:val="24"/>
          <w:szCs w:val="28"/>
        </w:rPr>
      </w:pPr>
      <w:r>
        <w:rPr>
          <w:rFonts w:ascii="Times New Roman" w:hAnsi="Times New Roman" w:eastAsia="仿宋"/>
          <w:color w:val="000000"/>
          <w:sz w:val="24"/>
          <w:szCs w:val="28"/>
        </w:rPr>
        <w:t xml:space="preserve"> </w:t>
      </w:r>
      <w:r>
        <w:rPr>
          <w:rFonts w:hint="eastAsia" w:ascii="Times New Roman" w:hAnsi="Times New Roman" w:eastAsia="仿宋"/>
          <w:color w:val="000000"/>
          <w:sz w:val="24"/>
          <w:szCs w:val="28"/>
        </w:rPr>
        <w:t>单位：元</w:t>
      </w:r>
    </w:p>
    <w:tbl>
      <w:tblPr>
        <w:tblStyle w:val="21"/>
        <w:tblW w:w="8507"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012"/>
        <w:gridCol w:w="2323"/>
        <w:gridCol w:w="1012"/>
        <w:gridCol w:w="1012"/>
        <w:gridCol w:w="1012"/>
        <w:gridCol w:w="1068"/>
        <w:gridCol w:w="106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50" w:hRule="atLeast"/>
        </w:trPr>
        <w:tc>
          <w:tcPr>
            <w:tcW w:w="1012" w:type="dxa"/>
            <w:vAlign w:val="center"/>
          </w:tcPr>
          <w:p>
            <w:pPr>
              <w:widowControl/>
              <w:ind w:firstLine="422"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序号</w:t>
            </w:r>
          </w:p>
        </w:tc>
        <w:tc>
          <w:tcPr>
            <w:tcW w:w="2323"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建设内容</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单位</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工程量</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lang w:val="en-US" w:eastAsia="zh-CN"/>
              </w:rPr>
              <w:t>综合</w:t>
            </w:r>
            <w:r>
              <w:rPr>
                <w:rFonts w:hint="eastAsia" w:ascii="仿宋" w:hAnsi="仿宋" w:eastAsia="仿宋" w:cs="宋体"/>
                <w:b/>
                <w:bCs/>
                <w:color w:val="000000"/>
                <w:kern w:val="0"/>
                <w:sz w:val="21"/>
                <w:szCs w:val="21"/>
              </w:rPr>
              <w:t>单价（元）</w:t>
            </w:r>
          </w:p>
        </w:tc>
        <w:tc>
          <w:tcPr>
            <w:tcW w:w="1068"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总投资（元）</w:t>
            </w:r>
          </w:p>
        </w:tc>
        <w:tc>
          <w:tcPr>
            <w:tcW w:w="1068" w:type="dxa"/>
            <w:vAlign w:val="center"/>
          </w:tcPr>
          <w:p>
            <w:pPr>
              <w:widowControl/>
              <w:ind w:firstLine="0" w:firstLineChars="0"/>
              <w:jc w:val="center"/>
              <w:rPr>
                <w:rFonts w:hint="eastAsia" w:ascii="仿宋" w:hAnsi="仿宋" w:eastAsia="仿宋" w:cs="宋体"/>
                <w:b/>
                <w:bCs/>
                <w:color w:val="000000"/>
                <w:kern w:val="0"/>
                <w:sz w:val="21"/>
                <w:szCs w:val="21"/>
                <w:lang w:val="en-US" w:eastAsia="zh-CN"/>
              </w:rPr>
            </w:pPr>
            <w:r>
              <w:rPr>
                <w:rFonts w:hint="eastAsia" w:ascii="仿宋" w:hAnsi="仿宋" w:eastAsia="仿宋" w:cs="宋体"/>
                <w:b/>
                <w:bCs/>
                <w:color w:val="000000"/>
                <w:kern w:val="0"/>
                <w:sz w:val="21"/>
                <w:szCs w:val="21"/>
                <w:lang w:val="en-US" w:eastAsia="zh-CN"/>
              </w:rPr>
              <w:t>备注</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一</w:t>
            </w:r>
          </w:p>
        </w:tc>
        <w:tc>
          <w:tcPr>
            <w:tcW w:w="2323"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rPr>
            </w:pPr>
            <w:r>
              <w:rPr>
                <w:rFonts w:hint="eastAsia" w:ascii="Times New Roman" w:hAnsi="Times New Roman"/>
                <w:b/>
                <w:bCs/>
                <w:color w:val="000000"/>
                <w:kern w:val="0"/>
                <w:sz w:val="21"/>
                <w:szCs w:val="21"/>
                <w:lang w:val="en-US" w:eastAsia="zh-CN"/>
              </w:rPr>
              <w:t>2194</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场地平整及基础开挖</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160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160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2</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基础</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540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540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含二次搬运等</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3</w:t>
            </w:r>
          </w:p>
        </w:tc>
        <w:tc>
          <w:tcPr>
            <w:tcW w:w="2323" w:type="dxa"/>
            <w:vAlign w:val="center"/>
          </w:tcPr>
          <w:p>
            <w:pPr>
              <w:widowControl/>
              <w:ind w:firstLine="0" w:firstLineChars="0"/>
              <w:jc w:val="center"/>
              <w:rPr>
                <w:rFonts w:hint="eastAsia"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主体</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820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820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含材料、砌筑人工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4</w:t>
            </w:r>
          </w:p>
        </w:tc>
        <w:tc>
          <w:tcPr>
            <w:tcW w:w="2323" w:type="dxa"/>
            <w:vAlign w:val="center"/>
          </w:tcPr>
          <w:p>
            <w:pPr>
              <w:widowControl/>
              <w:ind w:firstLine="0" w:firstLineChars="0"/>
              <w:jc w:val="center"/>
              <w:rPr>
                <w:rFonts w:ascii="仿宋" w:hAnsi="仿宋" w:eastAsia="仿宋" w:cs="宋体"/>
                <w:color w:val="000000"/>
                <w:kern w:val="0"/>
                <w:sz w:val="21"/>
                <w:szCs w:val="21"/>
              </w:rPr>
            </w:pPr>
            <w:r>
              <w:rPr>
                <w:rFonts w:hint="eastAsia" w:ascii="仿宋" w:hAnsi="仿宋" w:eastAsia="仿宋" w:cs="宋体"/>
                <w:color w:val="000000"/>
                <w:kern w:val="0"/>
                <w:sz w:val="21"/>
                <w:szCs w:val="21"/>
                <w:lang w:val="en-US" w:eastAsia="zh-CN"/>
              </w:rPr>
              <w:t>承重盖板</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324</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324</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粉水及防水处理</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270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270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6</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回填、恢复处理及垃圾清运</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80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80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二</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工程建设其他费用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219.4</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eastAsia="zh-CN"/>
              </w:rPr>
            </w:pPr>
            <w:r>
              <w:rPr>
                <w:rFonts w:hint="eastAsia" w:ascii="Times New Roman" w:hAnsi="Times New Roman"/>
                <w:b/>
                <w:bCs/>
                <w:color w:val="000000"/>
                <w:kern w:val="0"/>
                <w:sz w:val="21"/>
                <w:szCs w:val="21"/>
                <w:lang w:val="en-US" w:eastAsia="zh-CN"/>
              </w:rPr>
              <w:t>含临时设施费及税金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三</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合计</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2413.4</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bl>
    <w:p>
      <w:pPr>
        <w:numPr>
          <w:ilvl w:val="0"/>
          <w:numId w:val="2"/>
        </w:numPr>
        <w:rPr>
          <w:rFonts w:hint="eastAsia"/>
          <w:lang w:val="en-US" w:eastAsia="zh-CN"/>
        </w:rPr>
      </w:pPr>
      <w:r>
        <w:rPr>
          <w:rFonts w:hint="eastAsia"/>
          <w:lang w:val="en-US" w:eastAsia="zh-CN"/>
        </w:rPr>
        <w:t>新建化粪池</w:t>
      </w:r>
      <w:r>
        <w:rPr>
          <w:rFonts w:hint="eastAsia" w:ascii="微软雅黑" w:hAnsi="微软雅黑" w:eastAsia="微软雅黑" w:cs="微软雅黑"/>
          <w:b w:val="0"/>
          <w:bCs/>
          <w:i w:val="0"/>
          <w:caps w:val="0"/>
          <w:color w:val="333333"/>
          <w:spacing w:val="0"/>
          <w:sz w:val="24"/>
          <w:szCs w:val="24"/>
          <w:shd w:val="clear" w:color="auto" w:fill="F5F5F5"/>
          <w:lang w:val="en-US" w:eastAsia="zh-CN"/>
        </w:rPr>
        <w:t>Z4-9SQF</w:t>
      </w:r>
      <w:r>
        <w:rPr>
          <w:rFonts w:hint="eastAsia"/>
          <w:lang w:val="en-US" w:eastAsia="zh-CN"/>
        </w:rPr>
        <w:t>估算</w:t>
      </w:r>
    </w:p>
    <w:p>
      <w:pPr>
        <w:spacing w:line="600" w:lineRule="exact"/>
        <w:ind w:firstLine="480"/>
        <w:jc w:val="right"/>
        <w:rPr>
          <w:rFonts w:ascii="Times New Roman" w:hAnsi="Times New Roman" w:eastAsia="仿宋"/>
          <w:color w:val="000000"/>
          <w:sz w:val="24"/>
          <w:szCs w:val="28"/>
        </w:rPr>
      </w:pPr>
      <w:r>
        <w:rPr>
          <w:rFonts w:ascii="Times New Roman" w:hAnsi="Times New Roman" w:eastAsia="仿宋"/>
          <w:color w:val="000000"/>
          <w:sz w:val="24"/>
          <w:szCs w:val="28"/>
        </w:rPr>
        <w:t xml:space="preserve"> </w:t>
      </w:r>
      <w:r>
        <w:rPr>
          <w:rFonts w:hint="eastAsia" w:ascii="Times New Roman" w:hAnsi="Times New Roman" w:eastAsia="仿宋"/>
          <w:color w:val="000000"/>
          <w:sz w:val="24"/>
          <w:szCs w:val="28"/>
        </w:rPr>
        <w:t>单位：元</w:t>
      </w:r>
    </w:p>
    <w:tbl>
      <w:tblPr>
        <w:tblStyle w:val="21"/>
        <w:tblW w:w="8507"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012"/>
        <w:gridCol w:w="2323"/>
        <w:gridCol w:w="1012"/>
        <w:gridCol w:w="1012"/>
        <w:gridCol w:w="1012"/>
        <w:gridCol w:w="1068"/>
        <w:gridCol w:w="106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50" w:hRule="atLeast"/>
        </w:trPr>
        <w:tc>
          <w:tcPr>
            <w:tcW w:w="1012" w:type="dxa"/>
            <w:vAlign w:val="center"/>
          </w:tcPr>
          <w:p>
            <w:pPr>
              <w:widowControl/>
              <w:ind w:firstLine="422"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序号</w:t>
            </w:r>
          </w:p>
        </w:tc>
        <w:tc>
          <w:tcPr>
            <w:tcW w:w="2323"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建设内容</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单位</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工程量</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lang w:val="en-US" w:eastAsia="zh-CN"/>
              </w:rPr>
              <w:t>综合</w:t>
            </w:r>
            <w:r>
              <w:rPr>
                <w:rFonts w:hint="eastAsia" w:ascii="仿宋" w:hAnsi="仿宋" w:eastAsia="仿宋" w:cs="宋体"/>
                <w:b/>
                <w:bCs/>
                <w:color w:val="000000"/>
                <w:kern w:val="0"/>
                <w:sz w:val="21"/>
                <w:szCs w:val="21"/>
              </w:rPr>
              <w:t>单价（元）</w:t>
            </w:r>
          </w:p>
        </w:tc>
        <w:tc>
          <w:tcPr>
            <w:tcW w:w="1068"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总投资（元）</w:t>
            </w:r>
          </w:p>
        </w:tc>
        <w:tc>
          <w:tcPr>
            <w:tcW w:w="1068" w:type="dxa"/>
            <w:vAlign w:val="center"/>
          </w:tcPr>
          <w:p>
            <w:pPr>
              <w:widowControl/>
              <w:ind w:firstLine="0" w:firstLineChars="0"/>
              <w:jc w:val="center"/>
              <w:rPr>
                <w:rFonts w:hint="eastAsia" w:ascii="仿宋" w:hAnsi="仿宋" w:eastAsia="仿宋" w:cs="宋体"/>
                <w:b/>
                <w:bCs/>
                <w:color w:val="000000"/>
                <w:kern w:val="0"/>
                <w:sz w:val="21"/>
                <w:szCs w:val="21"/>
                <w:lang w:val="en-US" w:eastAsia="zh-CN"/>
              </w:rPr>
            </w:pPr>
            <w:r>
              <w:rPr>
                <w:rFonts w:hint="eastAsia" w:ascii="仿宋" w:hAnsi="仿宋" w:eastAsia="仿宋" w:cs="宋体"/>
                <w:b/>
                <w:bCs/>
                <w:color w:val="000000"/>
                <w:kern w:val="0"/>
                <w:sz w:val="21"/>
                <w:szCs w:val="21"/>
                <w:lang w:val="en-US" w:eastAsia="zh-CN"/>
              </w:rPr>
              <w:t>备注</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一</w:t>
            </w:r>
          </w:p>
        </w:tc>
        <w:tc>
          <w:tcPr>
            <w:tcW w:w="2323"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rPr>
            </w:pPr>
            <w:r>
              <w:rPr>
                <w:rFonts w:hint="eastAsia" w:ascii="Times New Roman" w:hAnsi="Times New Roman"/>
                <w:b/>
                <w:bCs/>
                <w:color w:val="000000"/>
                <w:kern w:val="0"/>
                <w:sz w:val="21"/>
                <w:szCs w:val="21"/>
                <w:lang w:val="en-US" w:eastAsia="zh-CN"/>
              </w:rPr>
              <w:t>2638</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场地平整及基础开挖</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180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180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2</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基础</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630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630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含二次搬运等</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3</w:t>
            </w:r>
          </w:p>
        </w:tc>
        <w:tc>
          <w:tcPr>
            <w:tcW w:w="2323" w:type="dxa"/>
            <w:vAlign w:val="center"/>
          </w:tcPr>
          <w:p>
            <w:pPr>
              <w:widowControl/>
              <w:ind w:firstLine="0" w:firstLineChars="0"/>
              <w:jc w:val="center"/>
              <w:rPr>
                <w:rFonts w:hint="eastAsia"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主体</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920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920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含材料、砌筑人工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4</w:t>
            </w:r>
          </w:p>
        </w:tc>
        <w:tc>
          <w:tcPr>
            <w:tcW w:w="2323" w:type="dxa"/>
            <w:vAlign w:val="center"/>
          </w:tcPr>
          <w:p>
            <w:pPr>
              <w:widowControl/>
              <w:ind w:firstLine="0" w:firstLineChars="0"/>
              <w:jc w:val="center"/>
              <w:rPr>
                <w:rFonts w:ascii="仿宋" w:hAnsi="仿宋" w:eastAsia="仿宋" w:cs="宋体"/>
                <w:color w:val="000000"/>
                <w:kern w:val="0"/>
                <w:sz w:val="21"/>
                <w:szCs w:val="21"/>
              </w:rPr>
            </w:pPr>
            <w:r>
              <w:rPr>
                <w:rFonts w:hint="eastAsia" w:ascii="仿宋" w:hAnsi="仿宋" w:eastAsia="仿宋" w:cs="宋体"/>
                <w:color w:val="000000"/>
                <w:kern w:val="0"/>
                <w:sz w:val="21"/>
                <w:szCs w:val="21"/>
                <w:lang w:val="en-US" w:eastAsia="zh-CN"/>
              </w:rPr>
              <w:t>承重盖板</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402</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402</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粉水及防水处理</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386</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386</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6</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回填、恢复处理及垃圾清运</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120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120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二</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工程建设其他费用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263.8</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eastAsia="zh-CN"/>
              </w:rPr>
            </w:pPr>
            <w:r>
              <w:rPr>
                <w:rFonts w:hint="eastAsia" w:ascii="Times New Roman" w:hAnsi="Times New Roman"/>
                <w:b/>
                <w:bCs/>
                <w:color w:val="000000"/>
                <w:kern w:val="0"/>
                <w:sz w:val="21"/>
                <w:szCs w:val="21"/>
                <w:lang w:val="en-US" w:eastAsia="zh-CN"/>
              </w:rPr>
              <w:t>含临时设施费及税金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三</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合计</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2901.8</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bl>
    <w:p>
      <w:pPr>
        <w:numPr>
          <w:ilvl w:val="0"/>
          <w:numId w:val="2"/>
        </w:numPr>
        <w:rPr>
          <w:rFonts w:hint="eastAsia"/>
          <w:lang w:val="en-US" w:eastAsia="zh-CN"/>
        </w:rPr>
      </w:pPr>
      <w:r>
        <w:rPr>
          <w:rFonts w:hint="eastAsia"/>
          <w:lang w:val="en-US" w:eastAsia="zh-CN"/>
        </w:rPr>
        <w:t>出户管估算</w:t>
      </w:r>
    </w:p>
    <w:p>
      <w:pPr>
        <w:spacing w:line="600" w:lineRule="exact"/>
        <w:ind w:firstLine="480"/>
        <w:jc w:val="right"/>
        <w:rPr>
          <w:rFonts w:ascii="Times New Roman" w:hAnsi="Times New Roman" w:eastAsia="仿宋"/>
          <w:color w:val="000000"/>
          <w:sz w:val="24"/>
          <w:szCs w:val="28"/>
        </w:rPr>
      </w:pPr>
      <w:r>
        <w:rPr>
          <w:rFonts w:ascii="Times New Roman" w:hAnsi="Times New Roman" w:eastAsia="仿宋"/>
          <w:color w:val="000000"/>
          <w:sz w:val="24"/>
          <w:szCs w:val="28"/>
        </w:rPr>
        <w:t xml:space="preserve"> </w:t>
      </w:r>
      <w:r>
        <w:rPr>
          <w:rFonts w:hint="eastAsia" w:ascii="Times New Roman" w:hAnsi="Times New Roman" w:eastAsia="仿宋"/>
          <w:color w:val="000000"/>
          <w:sz w:val="24"/>
          <w:szCs w:val="28"/>
        </w:rPr>
        <w:t>单位：元</w:t>
      </w:r>
    </w:p>
    <w:tbl>
      <w:tblPr>
        <w:tblStyle w:val="21"/>
        <w:tblW w:w="8507"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012"/>
        <w:gridCol w:w="2323"/>
        <w:gridCol w:w="1012"/>
        <w:gridCol w:w="1012"/>
        <w:gridCol w:w="1012"/>
        <w:gridCol w:w="1068"/>
        <w:gridCol w:w="106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50" w:hRule="atLeast"/>
        </w:trPr>
        <w:tc>
          <w:tcPr>
            <w:tcW w:w="1012" w:type="dxa"/>
            <w:vAlign w:val="center"/>
          </w:tcPr>
          <w:p>
            <w:pPr>
              <w:widowControl/>
              <w:ind w:firstLine="422"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序号</w:t>
            </w:r>
          </w:p>
        </w:tc>
        <w:tc>
          <w:tcPr>
            <w:tcW w:w="2323"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建设内容</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单位</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工程量</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lang w:val="en-US" w:eastAsia="zh-CN"/>
              </w:rPr>
              <w:t>综合</w:t>
            </w:r>
            <w:r>
              <w:rPr>
                <w:rFonts w:hint="eastAsia" w:ascii="仿宋" w:hAnsi="仿宋" w:eastAsia="仿宋" w:cs="宋体"/>
                <w:b/>
                <w:bCs/>
                <w:color w:val="000000"/>
                <w:kern w:val="0"/>
                <w:sz w:val="21"/>
                <w:szCs w:val="21"/>
              </w:rPr>
              <w:t>单价（元）</w:t>
            </w:r>
          </w:p>
        </w:tc>
        <w:tc>
          <w:tcPr>
            <w:tcW w:w="1068"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总投资（元）</w:t>
            </w:r>
          </w:p>
        </w:tc>
        <w:tc>
          <w:tcPr>
            <w:tcW w:w="1068" w:type="dxa"/>
            <w:vAlign w:val="center"/>
          </w:tcPr>
          <w:p>
            <w:pPr>
              <w:widowControl/>
              <w:ind w:firstLine="0" w:firstLineChars="0"/>
              <w:jc w:val="center"/>
              <w:rPr>
                <w:rFonts w:hint="eastAsia" w:ascii="仿宋" w:hAnsi="仿宋" w:eastAsia="仿宋" w:cs="宋体"/>
                <w:b/>
                <w:bCs/>
                <w:color w:val="000000"/>
                <w:kern w:val="0"/>
                <w:sz w:val="21"/>
                <w:szCs w:val="21"/>
                <w:lang w:val="en-US" w:eastAsia="zh-CN"/>
              </w:rPr>
            </w:pPr>
            <w:r>
              <w:rPr>
                <w:rFonts w:hint="eastAsia" w:ascii="仿宋" w:hAnsi="仿宋" w:eastAsia="仿宋" w:cs="宋体"/>
                <w:b/>
                <w:bCs/>
                <w:color w:val="000000"/>
                <w:kern w:val="0"/>
                <w:sz w:val="21"/>
                <w:szCs w:val="21"/>
                <w:lang w:val="en-US" w:eastAsia="zh-CN"/>
              </w:rPr>
              <w:t>备注</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一</w:t>
            </w:r>
          </w:p>
        </w:tc>
        <w:tc>
          <w:tcPr>
            <w:tcW w:w="2323"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rPr>
            </w:pPr>
            <w:r>
              <w:rPr>
                <w:rFonts w:hint="eastAsia" w:ascii="Times New Roman" w:hAnsi="Times New Roman"/>
                <w:b/>
                <w:bCs/>
                <w:color w:val="000000"/>
                <w:kern w:val="0"/>
                <w:sz w:val="21"/>
                <w:szCs w:val="21"/>
                <w:lang w:val="en-US" w:eastAsia="zh-CN"/>
              </w:rPr>
              <w:t>240</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场地平整及开挖</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2</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与原出户管连接及处理</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含二次搬运等</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3</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出户管</w:t>
            </w:r>
            <w:r>
              <w:rPr>
                <w:rFonts w:hint="eastAsia"/>
                <w:lang w:val="en-US" w:eastAsia="zh-CN"/>
              </w:rPr>
              <w:t>UPVCdn160</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米</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2.5</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36</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90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含材料、砌筑人工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4</w:t>
            </w:r>
          </w:p>
        </w:tc>
        <w:tc>
          <w:tcPr>
            <w:tcW w:w="2323" w:type="dxa"/>
            <w:vAlign w:val="center"/>
          </w:tcPr>
          <w:p>
            <w:pPr>
              <w:widowControl/>
              <w:ind w:firstLine="0" w:firstLineChars="0"/>
              <w:jc w:val="center"/>
              <w:rPr>
                <w:rFonts w:ascii="仿宋" w:hAnsi="仿宋" w:eastAsia="仿宋" w:cs="宋体"/>
                <w:color w:val="000000"/>
                <w:kern w:val="0"/>
                <w:sz w:val="21"/>
                <w:szCs w:val="21"/>
              </w:rPr>
            </w:pPr>
            <w:r>
              <w:rPr>
                <w:rFonts w:hint="eastAsia" w:ascii="仿宋" w:hAnsi="仿宋" w:eastAsia="仿宋" w:cs="宋体"/>
                <w:color w:val="000000"/>
                <w:kern w:val="0"/>
                <w:sz w:val="21"/>
                <w:szCs w:val="21"/>
                <w:lang w:val="en-US" w:eastAsia="zh-CN"/>
              </w:rPr>
              <w:t>回填、恢复处理及垃圾清运</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二</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工程建设其他费用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24</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eastAsia="zh-CN"/>
              </w:rPr>
            </w:pPr>
            <w:r>
              <w:rPr>
                <w:rFonts w:hint="eastAsia" w:ascii="Times New Roman" w:hAnsi="Times New Roman"/>
                <w:b/>
                <w:bCs/>
                <w:color w:val="000000"/>
                <w:kern w:val="0"/>
                <w:sz w:val="21"/>
                <w:szCs w:val="21"/>
                <w:lang w:val="en-US" w:eastAsia="zh-CN"/>
              </w:rPr>
              <w:t>含临时设施费及税金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三</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合计</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264</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bl>
    <w:p>
      <w:pPr>
        <w:numPr>
          <w:ilvl w:val="0"/>
          <w:numId w:val="2"/>
        </w:numPr>
        <w:rPr>
          <w:rFonts w:hint="eastAsia"/>
          <w:lang w:val="en-US" w:eastAsia="zh-CN"/>
        </w:rPr>
      </w:pPr>
      <w:r>
        <w:rPr>
          <w:rFonts w:hint="eastAsia"/>
          <w:lang w:val="en-US" w:eastAsia="zh-CN"/>
        </w:rPr>
        <w:t>连接管估算</w:t>
      </w:r>
    </w:p>
    <w:p>
      <w:pPr>
        <w:spacing w:line="600" w:lineRule="exact"/>
        <w:ind w:firstLine="480"/>
        <w:jc w:val="right"/>
        <w:rPr>
          <w:rFonts w:ascii="Times New Roman" w:hAnsi="Times New Roman" w:eastAsia="仿宋"/>
          <w:color w:val="000000"/>
          <w:sz w:val="24"/>
          <w:szCs w:val="28"/>
        </w:rPr>
      </w:pPr>
      <w:r>
        <w:rPr>
          <w:rFonts w:ascii="Times New Roman" w:hAnsi="Times New Roman" w:eastAsia="仿宋"/>
          <w:color w:val="000000"/>
          <w:sz w:val="24"/>
          <w:szCs w:val="28"/>
        </w:rPr>
        <w:t xml:space="preserve"> </w:t>
      </w:r>
      <w:r>
        <w:rPr>
          <w:rFonts w:hint="eastAsia" w:ascii="Times New Roman" w:hAnsi="Times New Roman" w:eastAsia="仿宋"/>
          <w:color w:val="000000"/>
          <w:sz w:val="24"/>
          <w:szCs w:val="28"/>
        </w:rPr>
        <w:t>单位：元</w:t>
      </w:r>
    </w:p>
    <w:tbl>
      <w:tblPr>
        <w:tblStyle w:val="21"/>
        <w:tblW w:w="8507"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012"/>
        <w:gridCol w:w="2323"/>
        <w:gridCol w:w="1012"/>
        <w:gridCol w:w="1012"/>
        <w:gridCol w:w="1012"/>
        <w:gridCol w:w="1068"/>
        <w:gridCol w:w="106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50" w:hRule="atLeast"/>
        </w:trPr>
        <w:tc>
          <w:tcPr>
            <w:tcW w:w="1012" w:type="dxa"/>
            <w:vAlign w:val="center"/>
          </w:tcPr>
          <w:p>
            <w:pPr>
              <w:widowControl/>
              <w:ind w:firstLine="422"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序号</w:t>
            </w:r>
          </w:p>
        </w:tc>
        <w:tc>
          <w:tcPr>
            <w:tcW w:w="2323"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建设内容</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单位</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工程量</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lang w:val="en-US" w:eastAsia="zh-CN"/>
              </w:rPr>
              <w:t>综合</w:t>
            </w:r>
            <w:r>
              <w:rPr>
                <w:rFonts w:hint="eastAsia" w:ascii="仿宋" w:hAnsi="仿宋" w:eastAsia="仿宋" w:cs="宋体"/>
                <w:b/>
                <w:bCs/>
                <w:color w:val="000000"/>
                <w:kern w:val="0"/>
                <w:sz w:val="21"/>
                <w:szCs w:val="21"/>
              </w:rPr>
              <w:t>单价（元）</w:t>
            </w:r>
          </w:p>
        </w:tc>
        <w:tc>
          <w:tcPr>
            <w:tcW w:w="1068"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总投资（元）</w:t>
            </w:r>
          </w:p>
        </w:tc>
        <w:tc>
          <w:tcPr>
            <w:tcW w:w="1068" w:type="dxa"/>
            <w:vAlign w:val="center"/>
          </w:tcPr>
          <w:p>
            <w:pPr>
              <w:widowControl/>
              <w:ind w:firstLine="0" w:firstLineChars="0"/>
              <w:jc w:val="center"/>
              <w:rPr>
                <w:rFonts w:hint="eastAsia" w:ascii="仿宋" w:hAnsi="仿宋" w:eastAsia="仿宋" w:cs="宋体"/>
                <w:b/>
                <w:bCs/>
                <w:color w:val="000000"/>
                <w:kern w:val="0"/>
                <w:sz w:val="21"/>
                <w:szCs w:val="21"/>
                <w:lang w:val="en-US" w:eastAsia="zh-CN"/>
              </w:rPr>
            </w:pPr>
            <w:r>
              <w:rPr>
                <w:rFonts w:hint="eastAsia" w:ascii="仿宋" w:hAnsi="仿宋" w:eastAsia="仿宋" w:cs="宋体"/>
                <w:b/>
                <w:bCs/>
                <w:color w:val="000000"/>
                <w:kern w:val="0"/>
                <w:sz w:val="21"/>
                <w:szCs w:val="21"/>
                <w:lang w:val="en-US" w:eastAsia="zh-CN"/>
              </w:rPr>
              <w:t>备注</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一</w:t>
            </w:r>
          </w:p>
        </w:tc>
        <w:tc>
          <w:tcPr>
            <w:tcW w:w="2323"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rPr>
            </w:pPr>
            <w:r>
              <w:rPr>
                <w:rFonts w:hint="eastAsia" w:ascii="Times New Roman" w:hAnsi="Times New Roman"/>
                <w:b/>
                <w:bCs/>
                <w:color w:val="000000"/>
                <w:kern w:val="0"/>
                <w:sz w:val="21"/>
                <w:szCs w:val="21"/>
                <w:lang w:val="en-US" w:eastAsia="zh-CN"/>
              </w:rPr>
              <w:t>250</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场地平整及开挖</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2</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粪池接口处理</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60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60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含二次搬运等</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3</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连接管</w:t>
            </w:r>
            <w:r>
              <w:rPr>
                <w:rFonts w:hint="eastAsia"/>
                <w:lang w:val="en-US" w:eastAsia="zh-CN"/>
              </w:rPr>
              <w:t>UPVCdn160</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米</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2.5</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36</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90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含材料、砌筑人工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4</w:t>
            </w:r>
          </w:p>
        </w:tc>
        <w:tc>
          <w:tcPr>
            <w:tcW w:w="2323" w:type="dxa"/>
            <w:vAlign w:val="center"/>
          </w:tcPr>
          <w:p>
            <w:pPr>
              <w:widowControl/>
              <w:ind w:firstLine="0" w:firstLineChars="0"/>
              <w:jc w:val="center"/>
              <w:rPr>
                <w:rFonts w:ascii="仿宋" w:hAnsi="仿宋" w:eastAsia="仿宋" w:cs="宋体"/>
                <w:color w:val="000000"/>
                <w:kern w:val="0"/>
                <w:sz w:val="21"/>
                <w:szCs w:val="21"/>
              </w:rPr>
            </w:pPr>
            <w:r>
              <w:rPr>
                <w:rFonts w:hint="eastAsia" w:ascii="仿宋" w:hAnsi="仿宋" w:eastAsia="仿宋" w:cs="宋体"/>
                <w:color w:val="000000"/>
                <w:kern w:val="0"/>
                <w:sz w:val="21"/>
                <w:szCs w:val="21"/>
                <w:lang w:val="en-US" w:eastAsia="zh-CN"/>
              </w:rPr>
              <w:t>回填、恢复处理及垃圾清运</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二</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工程建设其他费用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25</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eastAsia="zh-CN"/>
              </w:rPr>
            </w:pPr>
            <w:r>
              <w:rPr>
                <w:rFonts w:hint="eastAsia" w:ascii="Times New Roman" w:hAnsi="Times New Roman"/>
                <w:b/>
                <w:bCs/>
                <w:color w:val="000000"/>
                <w:kern w:val="0"/>
                <w:sz w:val="21"/>
                <w:szCs w:val="21"/>
                <w:lang w:val="en-US" w:eastAsia="zh-CN"/>
              </w:rPr>
              <w:t>含临时设施费及税金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三</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合计</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275</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bl>
    <w:p>
      <w:pPr>
        <w:numPr>
          <w:ilvl w:val="0"/>
          <w:numId w:val="2"/>
        </w:numPr>
        <w:rPr>
          <w:rFonts w:hint="eastAsia"/>
          <w:lang w:val="en-US" w:eastAsia="zh-CN"/>
        </w:rPr>
      </w:pPr>
      <w:r>
        <w:rPr>
          <w:rFonts w:hint="eastAsia"/>
          <w:lang w:val="en-US" w:eastAsia="zh-CN"/>
        </w:rPr>
        <w:t>污水干管估算</w:t>
      </w:r>
    </w:p>
    <w:p>
      <w:pPr>
        <w:spacing w:line="600" w:lineRule="exact"/>
        <w:ind w:firstLine="480"/>
        <w:jc w:val="right"/>
        <w:rPr>
          <w:rFonts w:ascii="Times New Roman" w:hAnsi="Times New Roman" w:eastAsia="仿宋"/>
          <w:color w:val="000000"/>
          <w:sz w:val="24"/>
          <w:szCs w:val="28"/>
        </w:rPr>
      </w:pPr>
      <w:r>
        <w:rPr>
          <w:rFonts w:ascii="Times New Roman" w:hAnsi="Times New Roman" w:eastAsia="仿宋"/>
          <w:color w:val="000000"/>
          <w:sz w:val="24"/>
          <w:szCs w:val="28"/>
        </w:rPr>
        <w:t xml:space="preserve"> </w:t>
      </w:r>
      <w:r>
        <w:rPr>
          <w:rFonts w:hint="eastAsia" w:ascii="Times New Roman" w:hAnsi="Times New Roman" w:eastAsia="仿宋"/>
          <w:color w:val="000000"/>
          <w:sz w:val="24"/>
          <w:szCs w:val="28"/>
        </w:rPr>
        <w:t>单位：元</w:t>
      </w:r>
    </w:p>
    <w:tbl>
      <w:tblPr>
        <w:tblStyle w:val="21"/>
        <w:tblW w:w="8507"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012"/>
        <w:gridCol w:w="2323"/>
        <w:gridCol w:w="1012"/>
        <w:gridCol w:w="1012"/>
        <w:gridCol w:w="1012"/>
        <w:gridCol w:w="1068"/>
        <w:gridCol w:w="106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50" w:hRule="atLeast"/>
        </w:trPr>
        <w:tc>
          <w:tcPr>
            <w:tcW w:w="1012" w:type="dxa"/>
            <w:vAlign w:val="center"/>
          </w:tcPr>
          <w:p>
            <w:pPr>
              <w:widowControl/>
              <w:ind w:firstLine="422"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序号</w:t>
            </w:r>
          </w:p>
        </w:tc>
        <w:tc>
          <w:tcPr>
            <w:tcW w:w="2323"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建设内容</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单位</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工程量</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lang w:val="en-US" w:eastAsia="zh-CN"/>
              </w:rPr>
              <w:t>综合</w:t>
            </w:r>
            <w:r>
              <w:rPr>
                <w:rFonts w:hint="eastAsia" w:ascii="仿宋" w:hAnsi="仿宋" w:eastAsia="仿宋" w:cs="宋体"/>
                <w:b/>
                <w:bCs/>
                <w:color w:val="000000"/>
                <w:kern w:val="0"/>
                <w:sz w:val="21"/>
                <w:szCs w:val="21"/>
              </w:rPr>
              <w:t>单价（元）</w:t>
            </w:r>
          </w:p>
        </w:tc>
        <w:tc>
          <w:tcPr>
            <w:tcW w:w="1068"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总投资（元）</w:t>
            </w:r>
          </w:p>
        </w:tc>
        <w:tc>
          <w:tcPr>
            <w:tcW w:w="1068" w:type="dxa"/>
            <w:vAlign w:val="center"/>
          </w:tcPr>
          <w:p>
            <w:pPr>
              <w:widowControl/>
              <w:ind w:firstLine="0" w:firstLineChars="0"/>
              <w:jc w:val="center"/>
              <w:rPr>
                <w:rFonts w:hint="eastAsia" w:ascii="仿宋" w:hAnsi="仿宋" w:eastAsia="仿宋" w:cs="宋体"/>
                <w:b/>
                <w:bCs/>
                <w:color w:val="000000"/>
                <w:kern w:val="0"/>
                <w:sz w:val="21"/>
                <w:szCs w:val="21"/>
                <w:lang w:val="en-US" w:eastAsia="zh-CN"/>
              </w:rPr>
            </w:pPr>
            <w:r>
              <w:rPr>
                <w:rFonts w:hint="eastAsia" w:ascii="仿宋" w:hAnsi="仿宋" w:eastAsia="仿宋" w:cs="宋体"/>
                <w:b/>
                <w:bCs/>
                <w:color w:val="000000"/>
                <w:kern w:val="0"/>
                <w:sz w:val="21"/>
                <w:szCs w:val="21"/>
                <w:lang w:val="en-US" w:eastAsia="zh-CN"/>
              </w:rPr>
              <w:t>备注</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一</w:t>
            </w:r>
          </w:p>
        </w:tc>
        <w:tc>
          <w:tcPr>
            <w:tcW w:w="2323"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rPr>
            </w:pPr>
            <w:r>
              <w:rPr>
                <w:rFonts w:hint="eastAsia" w:ascii="Times New Roman" w:hAnsi="Times New Roman"/>
                <w:b/>
                <w:bCs/>
                <w:color w:val="000000"/>
                <w:kern w:val="0"/>
                <w:sz w:val="21"/>
                <w:szCs w:val="21"/>
                <w:lang w:val="en-US" w:eastAsia="zh-CN"/>
              </w:rPr>
              <w:t>1850</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场地平整及开挖</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90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90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2</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lang w:val="en-US" w:eastAsia="zh-CN"/>
              </w:rPr>
              <w:t>TXXQ高密度聚乙烯塑料检查井</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个</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3</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160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480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含二次搬运等</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3</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lang w:val="en-US" w:eastAsia="zh-CN"/>
              </w:rPr>
              <w:t>dn300HDPE高密度聚乙烯螺旋缠绕管</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米</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20</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58</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1160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含材料、砌筑人工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4</w:t>
            </w:r>
          </w:p>
        </w:tc>
        <w:tc>
          <w:tcPr>
            <w:tcW w:w="2323" w:type="dxa"/>
            <w:vAlign w:val="center"/>
          </w:tcPr>
          <w:p>
            <w:pPr>
              <w:widowControl/>
              <w:ind w:firstLine="0" w:firstLineChars="0"/>
              <w:jc w:val="center"/>
              <w:rPr>
                <w:rFonts w:ascii="仿宋" w:hAnsi="仿宋" w:eastAsia="仿宋" w:cs="宋体"/>
                <w:color w:val="000000"/>
                <w:kern w:val="0"/>
                <w:sz w:val="21"/>
                <w:szCs w:val="21"/>
              </w:rPr>
            </w:pPr>
            <w:r>
              <w:rPr>
                <w:rFonts w:hint="eastAsia" w:ascii="仿宋" w:hAnsi="仿宋" w:eastAsia="仿宋" w:cs="宋体"/>
                <w:color w:val="000000"/>
                <w:kern w:val="0"/>
                <w:sz w:val="21"/>
                <w:szCs w:val="21"/>
                <w:lang w:val="en-US" w:eastAsia="zh-CN"/>
              </w:rPr>
              <w:t>回填、恢复处理及垃圾清运</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120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120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二</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工程建设其他费用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185</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eastAsia="zh-CN"/>
              </w:rPr>
            </w:pPr>
            <w:r>
              <w:rPr>
                <w:rFonts w:hint="eastAsia" w:ascii="Times New Roman" w:hAnsi="Times New Roman"/>
                <w:b/>
                <w:bCs/>
                <w:color w:val="000000"/>
                <w:kern w:val="0"/>
                <w:sz w:val="21"/>
                <w:szCs w:val="21"/>
                <w:lang w:val="en-US" w:eastAsia="zh-CN"/>
              </w:rPr>
              <w:t>含临时设施费及税金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三</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合计</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2035</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bl>
    <w:p>
      <w:pPr>
        <w:pStyle w:val="4"/>
        <w:numPr>
          <w:ilvl w:val="0"/>
          <w:numId w:val="0"/>
        </w:numPr>
        <w:spacing w:line="600" w:lineRule="exact"/>
        <w:ind w:firstLine="843" w:firstLineChars="300"/>
        <w:jc w:val="both"/>
        <w:rPr>
          <w:rFonts w:hint="eastAsia" w:asciiTheme="majorEastAsia" w:hAnsiTheme="majorEastAsia" w:eastAsiaTheme="majorEastAsia" w:cstheme="majorEastAsia"/>
          <w:b/>
          <w:bCs/>
          <w:color w:val="000000"/>
          <w:sz w:val="28"/>
          <w:szCs w:val="28"/>
          <w:lang w:val="en-US" w:eastAsia="zh-CN"/>
        </w:rPr>
      </w:pPr>
      <w:r>
        <w:rPr>
          <w:rFonts w:hint="eastAsia" w:asciiTheme="majorEastAsia" w:hAnsiTheme="majorEastAsia" w:eastAsiaTheme="majorEastAsia" w:cstheme="majorEastAsia"/>
          <w:b/>
          <w:bCs/>
          <w:color w:val="000000"/>
          <w:sz w:val="28"/>
          <w:szCs w:val="28"/>
          <w:lang w:val="en-US" w:eastAsia="zh-CN"/>
        </w:rPr>
        <w:t>第八章</w:t>
      </w:r>
      <w:r>
        <w:rPr>
          <w:rFonts w:hint="eastAsia" w:asciiTheme="majorEastAsia" w:hAnsiTheme="majorEastAsia" w:eastAsiaTheme="majorEastAsia" w:cstheme="majorEastAsia"/>
          <w:b/>
          <w:bCs/>
          <w:color w:val="000000"/>
          <w:sz w:val="28"/>
          <w:szCs w:val="28"/>
        </w:rPr>
        <w:t>项目</w:t>
      </w:r>
      <w:r>
        <w:rPr>
          <w:rFonts w:hint="eastAsia" w:asciiTheme="majorEastAsia" w:hAnsiTheme="majorEastAsia" w:eastAsiaTheme="majorEastAsia" w:cstheme="majorEastAsia"/>
          <w:b/>
          <w:bCs/>
          <w:color w:val="000000"/>
          <w:sz w:val="28"/>
          <w:szCs w:val="28"/>
          <w:lang w:val="en-US" w:eastAsia="zh-CN"/>
        </w:rPr>
        <w:t>实施具体内容及地点</w:t>
      </w:r>
    </w:p>
    <w:p>
      <w:pPr>
        <w:pStyle w:val="66"/>
        <w:numPr>
          <w:ilvl w:val="0"/>
          <w:numId w:val="0"/>
        </w:numPr>
        <w:snapToGrid w:val="0"/>
        <w:spacing w:line="360" w:lineRule="auto"/>
        <w:jc w:val="both"/>
        <w:rPr>
          <w:rFonts w:hint="eastAsia" w:asciiTheme="majorEastAsia" w:hAnsiTheme="majorEastAsia" w:eastAsiaTheme="majorEastAsia" w:cstheme="majorEastAsia"/>
          <w:color w:val="auto"/>
          <w:kern w:val="2"/>
          <w:sz w:val="24"/>
          <w:szCs w:val="24"/>
          <w:lang w:val="en-US" w:eastAsia="zh-CN"/>
        </w:rPr>
      </w:pPr>
      <w:r>
        <w:rPr>
          <w:rFonts w:hint="eastAsia" w:asciiTheme="majorEastAsia" w:hAnsiTheme="majorEastAsia" w:eastAsiaTheme="majorEastAsia" w:cstheme="majorEastAsia"/>
          <w:sz w:val="24"/>
          <w:szCs w:val="24"/>
          <w:lang w:val="en-US" w:eastAsia="zh-CN"/>
        </w:rPr>
        <w:t>一、</w:t>
      </w:r>
      <w:r>
        <w:rPr>
          <w:rFonts w:hint="eastAsia" w:asciiTheme="majorEastAsia" w:hAnsiTheme="majorEastAsia" w:eastAsiaTheme="majorEastAsia" w:cstheme="majorEastAsia"/>
          <w:color w:val="auto"/>
          <w:kern w:val="2"/>
          <w:sz w:val="24"/>
          <w:szCs w:val="24"/>
        </w:rPr>
        <w:t>2019年射洪市</w:t>
      </w:r>
      <w:r>
        <w:rPr>
          <w:rFonts w:hint="eastAsia" w:asciiTheme="majorEastAsia" w:hAnsiTheme="majorEastAsia" w:eastAsiaTheme="majorEastAsia" w:cstheme="majorEastAsia"/>
          <w:b w:val="0"/>
          <w:bCs/>
          <w:sz w:val="24"/>
          <w:szCs w:val="24"/>
          <w:lang w:val="en-US" w:eastAsia="zh-CN"/>
        </w:rPr>
        <w:t>青岗镇幸福村</w:t>
      </w:r>
      <w:r>
        <w:rPr>
          <w:rFonts w:hint="eastAsia" w:asciiTheme="majorEastAsia" w:hAnsiTheme="majorEastAsia" w:eastAsiaTheme="majorEastAsia" w:cstheme="majorEastAsia"/>
          <w:color w:val="auto"/>
          <w:kern w:val="2"/>
          <w:sz w:val="24"/>
          <w:szCs w:val="24"/>
        </w:rPr>
        <w:t>人居环境整治</w:t>
      </w:r>
      <w:r>
        <w:rPr>
          <w:rFonts w:hint="eastAsia" w:asciiTheme="majorEastAsia" w:hAnsiTheme="majorEastAsia" w:eastAsiaTheme="majorEastAsia" w:cstheme="majorEastAsia"/>
          <w:color w:val="auto"/>
          <w:kern w:val="2"/>
          <w:sz w:val="24"/>
          <w:szCs w:val="24"/>
          <w:lang w:val="en-US" w:eastAsia="zh-CN"/>
        </w:rPr>
        <w:t>无害化处理任务数362户；新建整改厕所104户；联合池（多户合建化粪池）97口；单户化粪池125口；整改粪池362口；修建整改出户管及连接管</w:t>
      </w:r>
      <w:r>
        <w:rPr>
          <w:rFonts w:hint="eastAsia" w:ascii="宋体" w:hAnsi="宋体" w:eastAsia="宋体" w:cs="宋体"/>
          <w:i w:val="0"/>
          <w:color w:val="000000"/>
          <w:kern w:val="0"/>
          <w:sz w:val="24"/>
          <w:szCs w:val="24"/>
          <w:u w:val="none"/>
          <w:lang w:val="en-US" w:eastAsia="zh-CN" w:bidi="ar"/>
        </w:rPr>
        <w:t>1810</w:t>
      </w:r>
      <w:r>
        <w:rPr>
          <w:rFonts w:hint="eastAsia" w:asciiTheme="majorEastAsia" w:hAnsiTheme="majorEastAsia" w:eastAsiaTheme="majorEastAsia" w:cstheme="majorEastAsia"/>
          <w:color w:val="auto"/>
          <w:kern w:val="2"/>
          <w:sz w:val="24"/>
          <w:szCs w:val="24"/>
          <w:lang w:val="en-US" w:eastAsia="zh-CN"/>
        </w:rPr>
        <w:t>米；修建污水干管</w:t>
      </w:r>
      <w:r>
        <w:rPr>
          <w:rFonts w:hint="eastAsia" w:ascii="宋体" w:hAnsi="宋体" w:eastAsia="宋体" w:cs="宋体"/>
          <w:i w:val="0"/>
          <w:color w:val="000000"/>
          <w:kern w:val="0"/>
          <w:sz w:val="24"/>
          <w:szCs w:val="24"/>
          <w:u w:val="none"/>
          <w:lang w:val="en-US" w:eastAsia="zh-CN" w:bidi="ar"/>
        </w:rPr>
        <w:t>1400</w:t>
      </w:r>
      <w:r>
        <w:rPr>
          <w:rFonts w:hint="eastAsia" w:asciiTheme="majorEastAsia" w:hAnsiTheme="majorEastAsia" w:eastAsiaTheme="majorEastAsia" w:cstheme="majorEastAsia"/>
          <w:color w:val="auto"/>
          <w:kern w:val="2"/>
          <w:sz w:val="24"/>
          <w:szCs w:val="24"/>
          <w:lang w:val="en-US" w:eastAsia="zh-CN"/>
        </w:rPr>
        <w:t>米。</w:t>
      </w:r>
    </w:p>
    <w:p>
      <w:pPr>
        <w:pStyle w:val="66"/>
        <w:numPr>
          <w:ilvl w:val="0"/>
          <w:numId w:val="0"/>
        </w:numPr>
        <w:snapToGrid w:val="0"/>
        <w:spacing w:line="360" w:lineRule="auto"/>
        <w:ind w:firstLine="480" w:firstLineChars="200"/>
        <w:jc w:val="both"/>
        <w:rPr>
          <w:rFonts w:hint="eastAsia" w:asciiTheme="majorEastAsia" w:hAnsiTheme="majorEastAsia" w:eastAsiaTheme="majorEastAsia" w:cstheme="majorEastAsia"/>
          <w:color w:val="auto"/>
          <w:kern w:val="2"/>
          <w:sz w:val="24"/>
          <w:szCs w:val="24"/>
          <w:lang w:val="en-US" w:eastAsia="zh-CN"/>
        </w:rPr>
      </w:pPr>
      <w:r>
        <w:rPr>
          <w:rFonts w:hint="eastAsia" w:asciiTheme="majorEastAsia" w:hAnsiTheme="majorEastAsia" w:eastAsiaTheme="majorEastAsia" w:cstheme="majorEastAsia"/>
          <w:color w:val="auto"/>
          <w:kern w:val="2"/>
          <w:sz w:val="24"/>
          <w:szCs w:val="24"/>
          <w:lang w:val="en-US" w:eastAsia="zh-CN"/>
        </w:rPr>
        <w:t>总投资金额：</w:t>
      </w:r>
      <w:r>
        <w:rPr>
          <w:rFonts w:hint="eastAsia" w:ascii="宋体" w:hAnsi="宋体" w:eastAsia="宋体" w:cs="宋体"/>
          <w:i w:val="0"/>
          <w:color w:val="000000"/>
          <w:kern w:val="0"/>
          <w:sz w:val="24"/>
          <w:szCs w:val="24"/>
          <w:u w:val="none"/>
          <w:lang w:val="en-US" w:eastAsia="zh-CN" w:bidi="ar"/>
        </w:rPr>
        <w:t>944480.01</w:t>
      </w:r>
      <w:r>
        <w:rPr>
          <w:rFonts w:hint="eastAsia" w:asciiTheme="majorEastAsia" w:hAnsiTheme="majorEastAsia" w:eastAsiaTheme="majorEastAsia" w:cstheme="majorEastAsia"/>
          <w:color w:val="auto"/>
          <w:kern w:val="2"/>
          <w:sz w:val="24"/>
          <w:szCs w:val="24"/>
          <w:lang w:val="en-US" w:eastAsia="zh-CN"/>
        </w:rPr>
        <w:t>元，其中财政奖补资金724000.00元，村民自筹220480.01元。</w:t>
      </w:r>
    </w:p>
    <w:p>
      <w:pPr>
        <w:pStyle w:val="66"/>
        <w:numPr>
          <w:ilvl w:val="0"/>
          <w:numId w:val="0"/>
        </w:numPr>
        <w:snapToGrid w:val="0"/>
        <w:spacing w:line="360" w:lineRule="auto"/>
        <w:jc w:val="both"/>
        <w:rPr>
          <w:rFonts w:hint="eastAsia" w:asciiTheme="majorEastAsia" w:hAnsiTheme="majorEastAsia" w:eastAsiaTheme="majorEastAsia" w:cstheme="majorEastAsia"/>
          <w:color w:val="auto"/>
          <w:kern w:val="2"/>
          <w:sz w:val="24"/>
          <w:szCs w:val="24"/>
          <w:lang w:val="en-US" w:eastAsia="zh-CN"/>
        </w:rPr>
      </w:pPr>
      <w:r>
        <w:rPr>
          <w:rFonts w:hint="eastAsia" w:asciiTheme="majorEastAsia" w:hAnsiTheme="majorEastAsia" w:eastAsiaTheme="majorEastAsia" w:cstheme="majorEastAsia"/>
          <w:color w:val="auto"/>
          <w:kern w:val="2"/>
          <w:sz w:val="24"/>
          <w:szCs w:val="24"/>
          <w:lang w:val="en-US" w:eastAsia="zh-CN"/>
        </w:rPr>
        <w:t>二、修建砖砌化粪池统计如下：</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5F5F5"/>
        <w:kinsoku/>
        <w:wordWrap/>
        <w:overflowPunct/>
        <w:topLinePunct w:val="0"/>
        <w:autoSpaceDE/>
        <w:autoSpaceDN/>
        <w:bidi w:val="0"/>
        <w:adjustRightInd/>
        <w:snapToGrid/>
        <w:spacing w:before="0" w:beforeAutospacing="0" w:after="75" w:afterAutospacing="0" w:line="20" w:lineRule="atLeast"/>
        <w:ind w:right="0" w:rightChars="0"/>
        <w:jc w:val="both"/>
        <w:textAlignment w:val="auto"/>
        <w:rPr>
          <w:rFonts w:hint="eastAsia" w:asciiTheme="majorEastAsia" w:hAnsiTheme="majorEastAsia" w:eastAsiaTheme="majorEastAsia" w:cstheme="majorEastAsia"/>
          <w:color w:val="auto"/>
          <w:kern w:val="2"/>
          <w:sz w:val="24"/>
          <w:szCs w:val="24"/>
          <w:lang w:val="en-US" w:eastAsia="zh-CN"/>
        </w:rPr>
      </w:pPr>
      <w:r>
        <w:rPr>
          <w:rFonts w:hint="eastAsia" w:asciiTheme="majorEastAsia" w:hAnsiTheme="majorEastAsia" w:eastAsiaTheme="majorEastAsia" w:cstheme="majorEastAsia"/>
          <w:b w:val="0"/>
          <w:bCs/>
          <w:sz w:val="24"/>
          <w:szCs w:val="24"/>
          <w:lang w:val="en-US" w:eastAsia="zh-CN"/>
        </w:rPr>
        <w:t>新建1号砖砌化粪池125座，做法详</w:t>
      </w:r>
      <w:r>
        <w:rPr>
          <w:rFonts w:hint="eastAsia" w:asciiTheme="majorEastAsia" w:hAnsiTheme="majorEastAsia" w:eastAsiaTheme="majorEastAsia" w:cstheme="majorEastAsia"/>
          <w:b w:val="0"/>
          <w:bCs/>
          <w:i w:val="0"/>
          <w:caps w:val="0"/>
          <w:color w:val="333333"/>
          <w:spacing w:val="0"/>
          <w:sz w:val="24"/>
          <w:szCs w:val="24"/>
          <w:shd w:val="clear" w:color="auto" w:fill="F5F5F5"/>
        </w:rPr>
        <w:t>02s701砖砌化粪池</w:t>
      </w:r>
      <w:r>
        <w:rPr>
          <w:rFonts w:hint="eastAsia" w:asciiTheme="majorEastAsia" w:hAnsiTheme="majorEastAsia" w:eastAsiaTheme="majorEastAsia" w:cstheme="majorEastAsia"/>
          <w:b w:val="0"/>
          <w:bCs/>
          <w:i w:val="0"/>
          <w:caps w:val="0"/>
          <w:color w:val="333333"/>
          <w:spacing w:val="0"/>
          <w:sz w:val="24"/>
          <w:szCs w:val="24"/>
          <w:shd w:val="clear" w:color="auto" w:fill="F5F5F5"/>
          <w:lang w:val="en-US" w:eastAsia="zh-CN"/>
        </w:rPr>
        <w:t>Z1-2SQF</w:t>
      </w:r>
      <w:r>
        <w:rPr>
          <w:rFonts w:hint="eastAsia" w:asciiTheme="majorEastAsia" w:hAnsiTheme="majorEastAsia" w:eastAsiaTheme="majorEastAsia" w:cstheme="majorEastAsia"/>
          <w:b w:val="0"/>
          <w:bCs/>
          <w:color w:val="auto"/>
          <w:kern w:val="2"/>
          <w:sz w:val="24"/>
          <w:szCs w:val="24"/>
          <w:lang w:val="en-US" w:eastAsia="zh-CN"/>
        </w:rPr>
        <w:t>。</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5F5F5"/>
        <w:kinsoku/>
        <w:wordWrap/>
        <w:overflowPunct/>
        <w:topLinePunct w:val="0"/>
        <w:autoSpaceDE/>
        <w:autoSpaceDN/>
        <w:bidi w:val="0"/>
        <w:adjustRightInd/>
        <w:snapToGrid/>
        <w:spacing w:before="0" w:beforeAutospacing="0" w:after="75" w:afterAutospacing="0" w:line="20" w:lineRule="atLeast"/>
        <w:ind w:right="0" w:rightChars="0"/>
        <w:jc w:val="both"/>
        <w:textAlignment w:val="auto"/>
        <w:rPr>
          <w:rFonts w:hint="eastAsia" w:asciiTheme="majorEastAsia" w:hAnsiTheme="majorEastAsia" w:eastAsiaTheme="majorEastAsia" w:cstheme="majorEastAsia"/>
          <w:color w:val="auto"/>
          <w:kern w:val="2"/>
          <w:sz w:val="24"/>
          <w:szCs w:val="24"/>
          <w:lang w:val="en-US" w:eastAsia="zh-CN"/>
        </w:rPr>
      </w:pPr>
      <w:r>
        <w:rPr>
          <w:rFonts w:hint="eastAsia" w:asciiTheme="majorEastAsia" w:hAnsiTheme="majorEastAsia" w:eastAsiaTheme="majorEastAsia" w:cstheme="majorEastAsia"/>
          <w:b w:val="0"/>
          <w:bCs/>
          <w:sz w:val="24"/>
          <w:szCs w:val="24"/>
          <w:lang w:val="en-US" w:eastAsia="zh-CN"/>
        </w:rPr>
        <w:t>新建2号砖砌化粪池65座</w:t>
      </w:r>
      <w:r>
        <w:rPr>
          <w:rFonts w:hint="eastAsia" w:asciiTheme="majorEastAsia" w:hAnsiTheme="majorEastAsia" w:eastAsiaTheme="majorEastAsia" w:cstheme="majorEastAsia"/>
          <w:sz w:val="24"/>
          <w:szCs w:val="24"/>
          <w:lang w:val="en-US" w:eastAsia="zh-CN"/>
        </w:rPr>
        <w:t>(2户合建)</w:t>
      </w:r>
      <w:r>
        <w:rPr>
          <w:rFonts w:hint="eastAsia" w:asciiTheme="majorEastAsia" w:hAnsiTheme="majorEastAsia" w:eastAsiaTheme="majorEastAsia" w:cstheme="majorEastAsia"/>
          <w:b w:val="0"/>
          <w:bCs/>
          <w:sz w:val="24"/>
          <w:szCs w:val="24"/>
          <w:lang w:val="en-US" w:eastAsia="zh-CN"/>
        </w:rPr>
        <w:t>，做法详</w:t>
      </w:r>
      <w:r>
        <w:rPr>
          <w:rFonts w:hint="eastAsia" w:asciiTheme="majorEastAsia" w:hAnsiTheme="majorEastAsia" w:eastAsiaTheme="majorEastAsia" w:cstheme="majorEastAsia"/>
          <w:b w:val="0"/>
          <w:bCs/>
          <w:i w:val="0"/>
          <w:caps w:val="0"/>
          <w:color w:val="333333"/>
          <w:spacing w:val="0"/>
          <w:sz w:val="24"/>
          <w:szCs w:val="24"/>
          <w:shd w:val="clear" w:color="auto" w:fill="F5F5F5"/>
        </w:rPr>
        <w:t>02s701砖砌化粪池</w:t>
      </w:r>
      <w:r>
        <w:rPr>
          <w:rFonts w:hint="eastAsia" w:asciiTheme="majorEastAsia" w:hAnsiTheme="majorEastAsia" w:eastAsiaTheme="majorEastAsia" w:cstheme="majorEastAsia"/>
          <w:b w:val="0"/>
          <w:bCs/>
          <w:i w:val="0"/>
          <w:caps w:val="0"/>
          <w:color w:val="333333"/>
          <w:spacing w:val="0"/>
          <w:sz w:val="24"/>
          <w:szCs w:val="24"/>
          <w:shd w:val="clear" w:color="auto" w:fill="F5F5F5"/>
          <w:lang w:val="en-US" w:eastAsia="zh-CN"/>
        </w:rPr>
        <w:t>Z2-4SQF</w:t>
      </w:r>
      <w:r>
        <w:rPr>
          <w:rFonts w:hint="eastAsia" w:asciiTheme="majorEastAsia" w:hAnsiTheme="majorEastAsia" w:eastAsiaTheme="majorEastAsia" w:cstheme="majorEastAsia"/>
          <w:b w:val="0"/>
          <w:bCs/>
          <w:color w:val="auto"/>
          <w:kern w:val="2"/>
          <w:sz w:val="24"/>
          <w:szCs w:val="24"/>
          <w:lang w:val="en-US" w:eastAsia="zh-CN"/>
        </w:rPr>
        <w:t>。</w:t>
      </w:r>
    </w:p>
    <w:p>
      <w:pPr>
        <w:keepNext w:val="0"/>
        <w:keepLines w:val="0"/>
        <w:pageBreakBefore w:val="0"/>
        <w:numPr>
          <w:ilvl w:val="0"/>
          <w:numId w:val="0"/>
        </w:numPr>
        <w:kinsoku/>
        <w:wordWrap/>
        <w:overflowPunct/>
        <w:topLinePunct w:val="0"/>
        <w:autoSpaceDE/>
        <w:autoSpaceDN/>
        <w:bidi w:val="0"/>
        <w:adjustRightInd/>
        <w:snapToGrid/>
        <w:spacing w:line="20" w:lineRule="atLeast"/>
        <w:jc w:val="both"/>
        <w:textAlignment w:val="auto"/>
        <w:rPr>
          <w:rFonts w:hint="eastAsia" w:asciiTheme="majorEastAsia" w:hAnsiTheme="majorEastAsia" w:eastAsiaTheme="majorEastAsia" w:cstheme="majorEastAsia"/>
          <w:sz w:val="24"/>
          <w:szCs w:val="24"/>
          <w:lang w:val="en-US" w:eastAsia="zh-CN"/>
        </w:rPr>
      </w:pPr>
      <w:r>
        <w:rPr>
          <w:rFonts w:hint="eastAsia" w:asciiTheme="majorEastAsia" w:hAnsiTheme="majorEastAsia" w:eastAsiaTheme="majorEastAsia" w:cstheme="majorEastAsia"/>
          <w:sz w:val="24"/>
          <w:szCs w:val="24"/>
          <w:lang w:val="en-US" w:eastAsia="zh-CN"/>
        </w:rPr>
        <w:t>新建3号砖砌化粪池21座(3户合建)，做法详</w:t>
      </w:r>
      <w:r>
        <w:rPr>
          <w:rFonts w:hint="eastAsia" w:asciiTheme="majorEastAsia" w:hAnsiTheme="majorEastAsia" w:eastAsiaTheme="majorEastAsia" w:cstheme="majorEastAsia"/>
          <w:i w:val="0"/>
          <w:caps w:val="0"/>
          <w:color w:val="333333"/>
          <w:spacing w:val="0"/>
          <w:sz w:val="24"/>
          <w:szCs w:val="24"/>
          <w:shd w:val="clear" w:color="auto" w:fill="F5F5F5"/>
        </w:rPr>
        <w:t>02s701砖砌化粪池</w:t>
      </w:r>
      <w:r>
        <w:rPr>
          <w:rFonts w:hint="eastAsia" w:asciiTheme="majorEastAsia" w:hAnsiTheme="majorEastAsia" w:eastAsiaTheme="majorEastAsia" w:cstheme="majorEastAsia"/>
          <w:i w:val="0"/>
          <w:caps w:val="0"/>
          <w:color w:val="333333"/>
          <w:spacing w:val="0"/>
          <w:sz w:val="24"/>
          <w:szCs w:val="24"/>
          <w:shd w:val="clear" w:color="auto" w:fill="F5F5F5"/>
          <w:lang w:val="en-US" w:eastAsia="zh-CN"/>
        </w:rPr>
        <w:t>Z3-6SQF</w:t>
      </w:r>
      <w:r>
        <w:rPr>
          <w:rFonts w:hint="eastAsia" w:asciiTheme="majorEastAsia" w:hAnsiTheme="majorEastAsia" w:eastAsiaTheme="majorEastAsia" w:cstheme="majorEastAsia"/>
          <w:color w:val="auto"/>
          <w:kern w:val="2"/>
          <w:sz w:val="24"/>
          <w:szCs w:val="24"/>
          <w:lang w:val="en-US" w:eastAsia="zh-CN"/>
        </w:rPr>
        <w:t>。</w:t>
      </w:r>
    </w:p>
    <w:p>
      <w:pPr>
        <w:keepNext w:val="0"/>
        <w:keepLines w:val="0"/>
        <w:pageBreakBefore w:val="0"/>
        <w:numPr>
          <w:ilvl w:val="0"/>
          <w:numId w:val="0"/>
        </w:numPr>
        <w:kinsoku/>
        <w:wordWrap/>
        <w:overflowPunct/>
        <w:topLinePunct w:val="0"/>
        <w:autoSpaceDE/>
        <w:autoSpaceDN/>
        <w:bidi w:val="0"/>
        <w:adjustRightInd/>
        <w:snapToGrid/>
        <w:spacing w:line="20" w:lineRule="atLeast"/>
        <w:jc w:val="both"/>
        <w:textAlignment w:val="auto"/>
        <w:rPr>
          <w:rFonts w:hint="eastAsia" w:asciiTheme="majorEastAsia" w:hAnsiTheme="majorEastAsia" w:eastAsiaTheme="majorEastAsia" w:cstheme="majorEastAsia"/>
          <w:sz w:val="24"/>
          <w:szCs w:val="24"/>
          <w:lang w:val="en-US" w:eastAsia="zh-CN"/>
        </w:rPr>
      </w:pPr>
      <w:r>
        <w:rPr>
          <w:rFonts w:hint="eastAsia" w:asciiTheme="majorEastAsia" w:hAnsiTheme="majorEastAsia" w:eastAsiaTheme="majorEastAsia" w:cstheme="majorEastAsia"/>
          <w:sz w:val="24"/>
          <w:szCs w:val="24"/>
          <w:lang w:val="en-US" w:eastAsia="zh-CN"/>
        </w:rPr>
        <w:t>新建4号砖砌化粪池11座(4户合建)，做法详</w:t>
      </w:r>
      <w:r>
        <w:rPr>
          <w:rFonts w:hint="eastAsia" w:asciiTheme="majorEastAsia" w:hAnsiTheme="majorEastAsia" w:eastAsiaTheme="majorEastAsia" w:cstheme="majorEastAsia"/>
          <w:i w:val="0"/>
          <w:caps w:val="0"/>
          <w:color w:val="333333"/>
          <w:spacing w:val="0"/>
          <w:sz w:val="24"/>
          <w:szCs w:val="24"/>
          <w:shd w:val="clear" w:color="auto" w:fill="F5F5F5"/>
        </w:rPr>
        <w:t>02s701砖砌化粪池</w:t>
      </w:r>
      <w:r>
        <w:rPr>
          <w:rFonts w:hint="eastAsia" w:asciiTheme="majorEastAsia" w:hAnsiTheme="majorEastAsia" w:eastAsiaTheme="majorEastAsia" w:cstheme="majorEastAsia"/>
          <w:i w:val="0"/>
          <w:caps w:val="0"/>
          <w:color w:val="333333"/>
          <w:spacing w:val="0"/>
          <w:sz w:val="24"/>
          <w:szCs w:val="24"/>
          <w:shd w:val="clear" w:color="auto" w:fill="F5F5F5"/>
          <w:lang w:val="en-US" w:eastAsia="zh-CN"/>
        </w:rPr>
        <w:t>Z4-9SQF</w:t>
      </w:r>
      <w:r>
        <w:rPr>
          <w:rFonts w:hint="eastAsia" w:asciiTheme="majorEastAsia" w:hAnsiTheme="majorEastAsia" w:eastAsiaTheme="majorEastAsia" w:cstheme="majorEastAsia"/>
          <w:color w:val="auto"/>
          <w:kern w:val="2"/>
          <w:sz w:val="24"/>
          <w:szCs w:val="24"/>
          <w:lang w:val="en-US" w:eastAsia="zh-CN"/>
        </w:rPr>
        <w:t>。</w:t>
      </w:r>
    </w:p>
    <w:p>
      <w:pPr>
        <w:keepNext w:val="0"/>
        <w:keepLines w:val="0"/>
        <w:pageBreakBefore w:val="0"/>
        <w:numPr>
          <w:ilvl w:val="0"/>
          <w:numId w:val="0"/>
        </w:numPr>
        <w:kinsoku/>
        <w:wordWrap/>
        <w:overflowPunct/>
        <w:topLinePunct w:val="0"/>
        <w:autoSpaceDE/>
        <w:autoSpaceDN/>
        <w:bidi w:val="0"/>
        <w:adjustRightInd/>
        <w:snapToGrid/>
        <w:spacing w:line="20" w:lineRule="atLeast"/>
        <w:jc w:val="both"/>
        <w:textAlignment w:val="auto"/>
        <w:rPr>
          <w:rFonts w:hint="eastAsia" w:asciiTheme="majorEastAsia" w:hAnsiTheme="majorEastAsia" w:eastAsiaTheme="majorEastAsia" w:cstheme="majorEastAsia"/>
          <w:sz w:val="24"/>
          <w:szCs w:val="24"/>
          <w:lang w:val="en-US" w:eastAsia="zh-CN"/>
        </w:rPr>
      </w:pPr>
      <w:r>
        <w:rPr>
          <w:rFonts w:hint="eastAsia" w:asciiTheme="majorEastAsia" w:hAnsiTheme="majorEastAsia" w:eastAsiaTheme="majorEastAsia" w:cstheme="majorEastAsia"/>
          <w:sz w:val="24"/>
          <w:szCs w:val="24"/>
          <w:lang w:val="en-US" w:eastAsia="zh-CN"/>
        </w:rPr>
        <w:t>检查井采用TXXQ高密度聚乙烯塑料检查井，合计237座。</w:t>
      </w:r>
    </w:p>
    <w:p>
      <w:pPr>
        <w:pStyle w:val="2"/>
        <w:ind w:left="0" w:leftChars="0" w:firstLine="0" w:firstLineChars="0"/>
        <w:jc w:val="both"/>
        <w:rPr>
          <w:rFonts w:hint="eastAsia" w:asciiTheme="majorEastAsia" w:hAnsiTheme="majorEastAsia" w:eastAsiaTheme="majorEastAsia" w:cstheme="majorEastAsia"/>
          <w:color w:val="auto"/>
          <w:kern w:val="2"/>
          <w:sz w:val="24"/>
          <w:szCs w:val="24"/>
          <w:lang w:val="en-US" w:eastAsia="zh-CN"/>
        </w:rPr>
      </w:pPr>
      <w:r>
        <w:rPr>
          <w:rFonts w:hint="eastAsia" w:asciiTheme="majorEastAsia" w:hAnsiTheme="majorEastAsia" w:eastAsiaTheme="majorEastAsia" w:cstheme="majorEastAsia"/>
          <w:color w:val="auto"/>
          <w:kern w:val="2"/>
          <w:sz w:val="24"/>
          <w:szCs w:val="24"/>
          <w:lang w:val="en-US" w:eastAsia="zh-CN"/>
        </w:rPr>
        <w:t>三、</w:t>
      </w:r>
      <w:r>
        <w:rPr>
          <w:rFonts w:hint="eastAsia" w:asciiTheme="majorEastAsia" w:hAnsiTheme="majorEastAsia" w:eastAsiaTheme="majorEastAsia" w:cstheme="majorEastAsia"/>
          <w:color w:val="auto"/>
          <w:kern w:val="2"/>
          <w:sz w:val="24"/>
          <w:szCs w:val="24"/>
        </w:rPr>
        <w:t>2019年射洪市</w:t>
      </w:r>
      <w:r>
        <w:rPr>
          <w:rFonts w:hint="eastAsia"/>
          <w:b w:val="0"/>
          <w:bCs/>
          <w:color w:val="000000" w:themeColor="text1"/>
          <w:sz w:val="24"/>
          <w:szCs w:val="24"/>
          <w:lang w:val="en-US" w:eastAsia="zh-CN"/>
          <w14:textFill>
            <w14:solidFill>
              <w14:schemeClr w14:val="tx1"/>
            </w14:solidFill>
          </w14:textFill>
        </w:rPr>
        <w:t>青岗镇幸福村</w:t>
      </w:r>
      <w:r>
        <w:rPr>
          <w:rFonts w:hint="eastAsia" w:asciiTheme="majorEastAsia" w:hAnsiTheme="majorEastAsia" w:eastAsiaTheme="majorEastAsia" w:cstheme="majorEastAsia"/>
          <w:color w:val="auto"/>
          <w:kern w:val="2"/>
          <w:sz w:val="24"/>
          <w:szCs w:val="24"/>
        </w:rPr>
        <w:t>人居环境整治改厕</w:t>
      </w:r>
      <w:r>
        <w:rPr>
          <w:rFonts w:hint="eastAsia" w:asciiTheme="majorEastAsia" w:hAnsiTheme="majorEastAsia" w:eastAsiaTheme="majorEastAsia" w:cstheme="majorEastAsia"/>
          <w:color w:val="auto"/>
          <w:kern w:val="2"/>
          <w:sz w:val="24"/>
          <w:szCs w:val="24"/>
          <w:lang w:val="en-US" w:eastAsia="zh-CN"/>
        </w:rPr>
        <w:t>工程估算金额及组成：</w:t>
      </w:r>
    </w:p>
    <w:tbl>
      <w:tblPr>
        <w:tblStyle w:val="21"/>
        <w:tblW w:w="8502"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005"/>
        <w:gridCol w:w="2307"/>
        <w:gridCol w:w="1005"/>
        <w:gridCol w:w="1005"/>
        <w:gridCol w:w="1060"/>
        <w:gridCol w:w="1060"/>
        <w:gridCol w:w="1060"/>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50" w:hRule="atLeast"/>
        </w:trPr>
        <w:tc>
          <w:tcPr>
            <w:tcW w:w="1005" w:type="dxa"/>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rPr>
            </w:pPr>
            <w:r>
              <w:rPr>
                <w:rFonts w:hint="eastAsia" w:ascii="宋体" w:hAnsi="宋体" w:eastAsia="宋体" w:cs="宋体"/>
                <w:i w:val="0"/>
                <w:color w:val="000000"/>
                <w:kern w:val="0"/>
                <w:sz w:val="20"/>
                <w:szCs w:val="20"/>
                <w:u w:val="none"/>
                <w:lang w:val="en-US" w:eastAsia="zh-CN" w:bidi="ar"/>
              </w:rPr>
              <w:t>序号</w:t>
            </w:r>
          </w:p>
        </w:tc>
        <w:tc>
          <w:tcPr>
            <w:tcW w:w="2307" w:type="dxa"/>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rPr>
            </w:pPr>
            <w:r>
              <w:rPr>
                <w:rFonts w:hint="eastAsia" w:ascii="宋体" w:hAnsi="宋体" w:eastAsia="宋体" w:cs="宋体"/>
                <w:i w:val="0"/>
                <w:color w:val="000000"/>
                <w:kern w:val="0"/>
                <w:sz w:val="20"/>
                <w:szCs w:val="20"/>
                <w:u w:val="none"/>
                <w:lang w:val="en-US" w:eastAsia="zh-CN" w:bidi="ar"/>
              </w:rPr>
              <w:t>建设内容</w:t>
            </w:r>
          </w:p>
        </w:tc>
        <w:tc>
          <w:tcPr>
            <w:tcW w:w="1005" w:type="dxa"/>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rPr>
            </w:pPr>
            <w:r>
              <w:rPr>
                <w:rFonts w:hint="eastAsia" w:ascii="宋体" w:hAnsi="宋体" w:eastAsia="宋体" w:cs="宋体"/>
                <w:i w:val="0"/>
                <w:color w:val="000000"/>
                <w:kern w:val="0"/>
                <w:sz w:val="20"/>
                <w:szCs w:val="20"/>
                <w:u w:val="none"/>
                <w:lang w:val="en-US" w:eastAsia="zh-CN" w:bidi="ar"/>
              </w:rPr>
              <w:t>单位</w:t>
            </w:r>
          </w:p>
        </w:tc>
        <w:tc>
          <w:tcPr>
            <w:tcW w:w="1005" w:type="dxa"/>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rPr>
            </w:pPr>
            <w:r>
              <w:rPr>
                <w:rFonts w:hint="eastAsia" w:ascii="宋体" w:hAnsi="宋体" w:eastAsia="宋体" w:cs="宋体"/>
                <w:i w:val="0"/>
                <w:color w:val="000000"/>
                <w:kern w:val="0"/>
                <w:sz w:val="20"/>
                <w:szCs w:val="20"/>
                <w:u w:val="none"/>
                <w:lang w:val="en-US" w:eastAsia="zh-CN" w:bidi="ar"/>
              </w:rPr>
              <w:t>工程量</w:t>
            </w:r>
          </w:p>
        </w:tc>
        <w:tc>
          <w:tcPr>
            <w:tcW w:w="1060" w:type="dxa"/>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rPr>
            </w:pPr>
            <w:r>
              <w:rPr>
                <w:rFonts w:hint="eastAsia" w:ascii="宋体" w:hAnsi="宋体" w:eastAsia="宋体" w:cs="宋体"/>
                <w:i w:val="0"/>
                <w:color w:val="000000"/>
                <w:kern w:val="0"/>
                <w:sz w:val="20"/>
                <w:szCs w:val="20"/>
                <w:u w:val="none"/>
                <w:lang w:val="en-US" w:eastAsia="zh-CN" w:bidi="ar"/>
              </w:rPr>
              <w:t>单价（元）</w:t>
            </w:r>
          </w:p>
        </w:tc>
        <w:tc>
          <w:tcPr>
            <w:tcW w:w="1060" w:type="dxa"/>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总投资（元）</w:t>
            </w:r>
          </w:p>
        </w:tc>
        <w:tc>
          <w:tcPr>
            <w:tcW w:w="1060" w:type="dxa"/>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备注</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19" w:hRule="atLeast"/>
        </w:trPr>
        <w:tc>
          <w:tcPr>
            <w:tcW w:w="1005" w:type="dxa"/>
            <w:vMerge w:val="restart"/>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1</w:t>
            </w:r>
          </w:p>
        </w:tc>
        <w:tc>
          <w:tcPr>
            <w:tcW w:w="2307" w:type="dxa"/>
            <w:vMerge w:val="restart"/>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rPr>
            </w:pPr>
            <w:r>
              <w:rPr>
                <w:rFonts w:hint="eastAsia" w:ascii="宋体" w:hAnsi="宋体" w:eastAsia="宋体" w:cs="宋体"/>
                <w:i w:val="0"/>
                <w:color w:val="000000"/>
                <w:kern w:val="0"/>
                <w:sz w:val="20"/>
                <w:szCs w:val="20"/>
                <w:u w:val="none"/>
                <w:lang w:val="en-US" w:eastAsia="zh-CN" w:bidi="ar"/>
              </w:rPr>
              <w:t>改厕</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rPr>
            </w:pPr>
            <w:r>
              <w:rPr>
                <w:rFonts w:hint="eastAsia" w:ascii="宋体" w:hAnsi="宋体" w:eastAsia="宋体" w:cs="宋体"/>
                <w:i w:val="0"/>
                <w:color w:val="000000"/>
                <w:kern w:val="0"/>
                <w:sz w:val="20"/>
                <w:szCs w:val="20"/>
                <w:u w:val="none"/>
                <w:lang w:val="en-US" w:eastAsia="zh-CN" w:bidi="ar"/>
              </w:rPr>
              <w:t>（一面墙）户　</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rPr>
            </w:pPr>
            <w:r>
              <w:rPr>
                <w:rFonts w:hint="eastAsia" w:ascii="宋体" w:hAnsi="宋体" w:eastAsia="宋体" w:cs="宋体"/>
                <w:i w:val="0"/>
                <w:color w:val="FF0000"/>
                <w:kern w:val="0"/>
                <w:sz w:val="20"/>
                <w:szCs w:val="20"/>
                <w:u w:val="none"/>
                <w:lang w:val="en-US" w:eastAsia="zh-CN" w:bidi="ar"/>
              </w:rPr>
              <w:t>25</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1414.71</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35367.75</w:t>
            </w:r>
          </w:p>
        </w:tc>
        <w:tc>
          <w:tcPr>
            <w:tcW w:w="1060" w:type="dxa"/>
            <w:vMerge w:val="restart"/>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含材料、机械、人工临时设施及税金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04" w:hRule="atLeast"/>
        </w:trPr>
        <w:tc>
          <w:tcPr>
            <w:tcW w:w="1005" w:type="dxa"/>
            <w:vMerge w:val="continue"/>
            <w:noWrap/>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Theme="majorEastAsia" w:hAnsiTheme="majorEastAsia" w:eastAsiaTheme="majorEastAsia" w:cstheme="majorEastAsia"/>
              </w:rPr>
            </w:pPr>
          </w:p>
        </w:tc>
        <w:tc>
          <w:tcPr>
            <w:tcW w:w="2307" w:type="dxa"/>
            <w:vMerge w:val="continue"/>
            <w:noWrap/>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Theme="majorEastAsia" w:hAnsiTheme="majorEastAsia" w:eastAsiaTheme="majorEastAsia" w:cstheme="majorEastAsia"/>
              </w:rPr>
            </w:pP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rPr>
            </w:pPr>
            <w:r>
              <w:rPr>
                <w:rFonts w:hint="eastAsia" w:ascii="宋体" w:hAnsi="宋体" w:eastAsia="宋体" w:cs="宋体"/>
                <w:i w:val="0"/>
                <w:color w:val="000000"/>
                <w:kern w:val="0"/>
                <w:sz w:val="20"/>
                <w:szCs w:val="20"/>
                <w:u w:val="none"/>
                <w:lang w:val="en-US" w:eastAsia="zh-CN" w:bidi="ar"/>
              </w:rPr>
              <w:t>（二面墙）户　</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FF0000"/>
                <w:kern w:val="0"/>
                <w:sz w:val="20"/>
                <w:szCs w:val="20"/>
                <w:u w:val="none"/>
                <w:lang w:val="en-US" w:eastAsia="zh-CN" w:bidi="ar"/>
              </w:rPr>
              <w:t>64</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2510.79</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160690.56</w:t>
            </w:r>
          </w:p>
        </w:tc>
        <w:tc>
          <w:tcPr>
            <w:tcW w:w="1060" w:type="dxa"/>
            <w:vMerge w:val="continue"/>
            <w:noWrap/>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Theme="majorEastAsia" w:hAnsiTheme="majorEastAsia" w:eastAsiaTheme="majorEastAsia" w:cstheme="majorEastAsia"/>
                <w:b/>
                <w:bCs/>
                <w:color w:val="000000"/>
                <w:kern w:val="0"/>
                <w:sz w:val="21"/>
                <w:szCs w:val="21"/>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558" w:hRule="atLeast"/>
        </w:trPr>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2</w:t>
            </w:r>
          </w:p>
        </w:tc>
        <w:tc>
          <w:tcPr>
            <w:tcW w:w="2307" w:type="dxa"/>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新建厕所</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户</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FF0000"/>
                <w:kern w:val="0"/>
                <w:sz w:val="20"/>
                <w:szCs w:val="20"/>
                <w:u w:val="none"/>
                <w:lang w:val="en-US" w:eastAsia="zh-CN" w:bidi="ar"/>
              </w:rPr>
              <w:t>15</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5489.3</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82339.5</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含材料、机械、人工临时设施及税金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82" w:hRule="atLeast"/>
        </w:trPr>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eastAsia="zh-CN"/>
              </w:rPr>
            </w:pPr>
            <w:r>
              <w:rPr>
                <w:rFonts w:hint="eastAsia" w:ascii="宋体" w:hAnsi="宋体" w:eastAsia="宋体" w:cs="宋体"/>
                <w:i w:val="0"/>
                <w:color w:val="000000"/>
                <w:kern w:val="0"/>
                <w:sz w:val="20"/>
                <w:szCs w:val="20"/>
                <w:u w:val="none"/>
                <w:lang w:val="en-US" w:eastAsia="zh-CN" w:bidi="ar"/>
              </w:rPr>
              <w:t>3</w:t>
            </w:r>
          </w:p>
        </w:tc>
        <w:tc>
          <w:tcPr>
            <w:tcW w:w="2307" w:type="dxa"/>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整改粪池</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口</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362</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286</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103532</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含材料、机械、人工临时设施及税金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eastAsia="zh-CN"/>
              </w:rPr>
            </w:pPr>
            <w:r>
              <w:rPr>
                <w:rFonts w:hint="eastAsia" w:ascii="宋体" w:hAnsi="宋体" w:eastAsia="宋体" w:cs="宋体"/>
                <w:i w:val="0"/>
                <w:color w:val="000000"/>
                <w:kern w:val="0"/>
                <w:sz w:val="20"/>
                <w:szCs w:val="20"/>
                <w:u w:val="none"/>
                <w:lang w:val="en-US" w:eastAsia="zh-CN" w:bidi="ar"/>
              </w:rPr>
              <w:t>4</w:t>
            </w:r>
          </w:p>
        </w:tc>
        <w:tc>
          <w:tcPr>
            <w:tcW w:w="2307" w:type="dxa"/>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修建整改出户管及连接管</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米</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1810</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36</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65160</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含材料、机械、人工临时设施及税金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eastAsia="zh-CN"/>
              </w:rPr>
            </w:pPr>
            <w:r>
              <w:rPr>
                <w:rFonts w:hint="eastAsia" w:ascii="宋体" w:hAnsi="宋体" w:eastAsia="宋体" w:cs="宋体"/>
                <w:i w:val="0"/>
                <w:color w:val="000000"/>
                <w:kern w:val="0"/>
                <w:sz w:val="20"/>
                <w:szCs w:val="20"/>
                <w:u w:val="none"/>
                <w:lang w:val="en-US" w:eastAsia="zh-CN" w:bidi="ar"/>
              </w:rPr>
              <w:t>5</w:t>
            </w:r>
          </w:p>
        </w:tc>
        <w:tc>
          <w:tcPr>
            <w:tcW w:w="2307" w:type="dxa"/>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rPr>
            </w:pPr>
            <w:r>
              <w:rPr>
                <w:rFonts w:hint="eastAsia" w:ascii="宋体" w:hAnsi="宋体" w:eastAsia="宋体" w:cs="宋体"/>
                <w:i w:val="0"/>
                <w:color w:val="000000"/>
                <w:kern w:val="0"/>
                <w:sz w:val="20"/>
                <w:szCs w:val="20"/>
                <w:u w:val="none"/>
                <w:lang w:val="en-US" w:eastAsia="zh-CN" w:bidi="ar"/>
              </w:rPr>
              <w:t>修建污水干管</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米</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1400</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58</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81200</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含材料、机械、人工临时设施及税金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eastAsia="zh-CN"/>
              </w:rPr>
            </w:pPr>
            <w:r>
              <w:rPr>
                <w:rFonts w:hint="eastAsia" w:ascii="宋体" w:hAnsi="宋体" w:eastAsia="宋体" w:cs="宋体"/>
                <w:i w:val="0"/>
                <w:color w:val="000000"/>
                <w:kern w:val="0"/>
                <w:sz w:val="20"/>
                <w:szCs w:val="20"/>
                <w:u w:val="none"/>
                <w:lang w:val="en-US" w:eastAsia="zh-CN" w:bidi="ar"/>
              </w:rPr>
              <w:t>6</w:t>
            </w:r>
          </w:p>
        </w:tc>
        <w:tc>
          <w:tcPr>
            <w:tcW w:w="2307"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rPr>
            </w:pPr>
            <w:r>
              <w:rPr>
                <w:rFonts w:hint="eastAsia" w:ascii="宋体" w:hAnsi="宋体" w:eastAsia="宋体" w:cs="宋体"/>
                <w:i w:val="0"/>
                <w:color w:val="000000"/>
                <w:kern w:val="0"/>
                <w:sz w:val="20"/>
                <w:szCs w:val="20"/>
                <w:u w:val="none"/>
                <w:lang w:val="en-US" w:eastAsia="zh-CN" w:bidi="ar"/>
              </w:rPr>
              <w:t>新建1号砖砌化粪池</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座</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FF0000"/>
                <w:kern w:val="0"/>
                <w:sz w:val="20"/>
                <w:szCs w:val="20"/>
                <w:u w:val="none"/>
                <w:lang w:val="en-US" w:eastAsia="zh-CN" w:bidi="ar"/>
              </w:rPr>
              <w:t>125</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1383.8</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172975</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含材料、机械、人工临时设施及税金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7</w:t>
            </w:r>
          </w:p>
        </w:tc>
        <w:tc>
          <w:tcPr>
            <w:tcW w:w="2307"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val="0"/>
                <w:bCs/>
                <w:sz w:val="24"/>
                <w:lang w:val="en-US" w:eastAsia="zh-CN"/>
              </w:rPr>
            </w:pPr>
            <w:r>
              <w:rPr>
                <w:rFonts w:hint="eastAsia" w:ascii="宋体" w:hAnsi="宋体" w:eastAsia="宋体" w:cs="宋体"/>
                <w:i w:val="0"/>
                <w:color w:val="000000"/>
                <w:kern w:val="0"/>
                <w:sz w:val="20"/>
                <w:szCs w:val="20"/>
                <w:u w:val="none"/>
                <w:lang w:val="en-US" w:eastAsia="zh-CN" w:bidi="ar"/>
              </w:rPr>
              <w:t>新建2号砖砌化粪池</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座</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FF0000"/>
                <w:kern w:val="0"/>
                <w:sz w:val="20"/>
                <w:szCs w:val="20"/>
                <w:u w:val="none"/>
                <w:lang w:val="en-US" w:eastAsia="zh-CN" w:bidi="ar"/>
              </w:rPr>
              <w:t>65</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1887.6</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122694</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含材料、机械、人工临时设施及税金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8</w:t>
            </w:r>
          </w:p>
        </w:tc>
        <w:tc>
          <w:tcPr>
            <w:tcW w:w="2307"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val="0"/>
                <w:bCs/>
                <w:sz w:val="24"/>
                <w:lang w:val="en-US" w:eastAsia="zh-CN"/>
              </w:rPr>
            </w:pPr>
            <w:r>
              <w:rPr>
                <w:rFonts w:hint="eastAsia" w:ascii="宋体" w:hAnsi="宋体" w:eastAsia="宋体" w:cs="宋体"/>
                <w:i w:val="0"/>
                <w:color w:val="000000"/>
                <w:kern w:val="0"/>
                <w:sz w:val="20"/>
                <w:szCs w:val="20"/>
                <w:u w:val="none"/>
                <w:lang w:val="en-US" w:eastAsia="zh-CN" w:bidi="ar"/>
              </w:rPr>
              <w:t>新建3号砖砌化粪池</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座</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FF0000"/>
                <w:kern w:val="0"/>
                <w:sz w:val="20"/>
                <w:szCs w:val="20"/>
                <w:u w:val="none"/>
                <w:lang w:val="en-US" w:eastAsia="zh-CN" w:bidi="ar"/>
              </w:rPr>
              <w:t>21</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2413.4</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50681.4</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含材料、机械、人工临时设施及税金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9</w:t>
            </w:r>
          </w:p>
        </w:tc>
        <w:tc>
          <w:tcPr>
            <w:tcW w:w="2307"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val="0"/>
                <w:bCs/>
                <w:sz w:val="24"/>
                <w:lang w:val="en-US" w:eastAsia="zh-CN"/>
              </w:rPr>
            </w:pPr>
            <w:r>
              <w:rPr>
                <w:rFonts w:hint="eastAsia" w:ascii="宋体" w:hAnsi="宋体" w:eastAsia="宋体" w:cs="宋体"/>
                <w:i w:val="0"/>
                <w:color w:val="000000"/>
                <w:kern w:val="0"/>
                <w:sz w:val="20"/>
                <w:szCs w:val="20"/>
                <w:u w:val="none"/>
                <w:lang w:val="en-US" w:eastAsia="zh-CN" w:bidi="ar"/>
              </w:rPr>
              <w:t>新建4号砖砌化粪池</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座</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FF0000"/>
                <w:kern w:val="0"/>
                <w:sz w:val="20"/>
                <w:szCs w:val="20"/>
                <w:u w:val="none"/>
                <w:lang w:val="en-US" w:eastAsia="zh-CN" w:bidi="ar"/>
              </w:rPr>
              <w:t>11</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2901.8</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31919.8</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含材料、机械、人工临时设施及税金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10</w:t>
            </w:r>
          </w:p>
        </w:tc>
        <w:tc>
          <w:tcPr>
            <w:tcW w:w="2307"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val="0"/>
                <w:bCs/>
                <w:sz w:val="24"/>
                <w:lang w:val="en-US" w:eastAsia="zh-CN"/>
              </w:rPr>
            </w:pPr>
            <w:r>
              <w:rPr>
                <w:rFonts w:hint="eastAsia" w:ascii="宋体" w:hAnsi="宋体" w:eastAsia="宋体" w:cs="宋体"/>
                <w:i w:val="0"/>
                <w:color w:val="000000"/>
                <w:kern w:val="0"/>
                <w:sz w:val="20"/>
                <w:szCs w:val="20"/>
                <w:u w:val="none"/>
                <w:lang w:val="en-US" w:eastAsia="zh-CN" w:bidi="ar"/>
              </w:rPr>
              <w:t>检查井</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座</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cs="宋体"/>
                <w:i w:val="0"/>
                <w:color w:val="000000"/>
                <w:kern w:val="0"/>
                <w:sz w:val="20"/>
                <w:szCs w:val="20"/>
                <w:u w:val="none"/>
                <w:lang w:val="en-US" w:eastAsia="zh-CN" w:bidi="ar"/>
              </w:rPr>
              <w:t>237</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160</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37920</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含材料、机械、人工临时设施及税金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rPr>
            </w:pPr>
            <w:r>
              <w:rPr>
                <w:rFonts w:hint="eastAsia" w:ascii="宋体" w:hAnsi="宋体" w:eastAsia="宋体" w:cs="宋体"/>
                <w:i w:val="0"/>
                <w:color w:val="000000"/>
                <w:kern w:val="0"/>
                <w:sz w:val="20"/>
                <w:szCs w:val="20"/>
                <w:u w:val="none"/>
                <w:lang w:val="en-US" w:eastAsia="zh-CN" w:bidi="ar"/>
              </w:rPr>
              <w:t>11</w:t>
            </w:r>
          </w:p>
        </w:tc>
        <w:tc>
          <w:tcPr>
            <w:tcW w:w="2307"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rPr>
            </w:pPr>
            <w:r>
              <w:rPr>
                <w:rFonts w:hint="eastAsia" w:ascii="宋体" w:hAnsi="宋体" w:eastAsia="宋体" w:cs="宋体"/>
                <w:i w:val="0"/>
                <w:color w:val="000000"/>
                <w:kern w:val="0"/>
                <w:sz w:val="20"/>
                <w:szCs w:val="20"/>
                <w:u w:val="none"/>
                <w:lang w:val="en-US" w:eastAsia="zh-CN" w:bidi="ar"/>
              </w:rPr>
              <w:t>合计</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rPr>
            </w:pPr>
            <w:r>
              <w:rPr>
                <w:rFonts w:hint="eastAsia" w:ascii="宋体" w:hAnsi="宋体" w:eastAsia="宋体" w:cs="宋体"/>
                <w:i w:val="0"/>
                <w:color w:val="000000"/>
                <w:kern w:val="0"/>
                <w:sz w:val="20"/>
                <w:szCs w:val="20"/>
                <w:u w:val="none"/>
                <w:lang w:val="en-US" w:eastAsia="zh-CN" w:bidi="ar"/>
              </w:rPr>
              <w:t>-</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rPr>
            </w:pPr>
            <w:r>
              <w:rPr>
                <w:rFonts w:hint="eastAsia" w:ascii="宋体" w:hAnsi="宋体" w:eastAsia="宋体" w:cs="宋体"/>
                <w:i w:val="0"/>
                <w:color w:val="FF0000"/>
                <w:kern w:val="0"/>
                <w:sz w:val="20"/>
                <w:szCs w:val="20"/>
                <w:u w:val="none"/>
                <w:lang w:val="en-US" w:eastAsia="zh-CN" w:bidi="ar"/>
              </w:rPr>
              <w:t>-</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944480.01</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含材料、机械、人工临时设施及税金</w:t>
            </w:r>
          </w:p>
        </w:tc>
      </w:tr>
    </w:tbl>
    <w:p>
      <w:pPr>
        <w:keepNext w:val="0"/>
        <w:keepLines w:val="0"/>
        <w:widowControl/>
        <w:suppressLineNumbers w:val="0"/>
        <w:ind w:left="0" w:leftChars="0" w:firstLine="0" w:firstLineChars="0"/>
        <w:jc w:val="left"/>
        <w:rPr>
          <w:rFonts w:hint="eastAsia" w:asciiTheme="majorEastAsia" w:hAnsiTheme="majorEastAsia" w:eastAsiaTheme="majorEastAsia" w:cstheme="majorEastAsia"/>
          <w:sz w:val="24"/>
          <w:szCs w:val="24"/>
          <w:lang w:val="en-US" w:eastAsia="zh-CN"/>
        </w:rPr>
        <w:sectPr>
          <w:footerReference r:id="rId15" w:type="default"/>
          <w:pgSz w:w="11906" w:h="16838"/>
          <w:pgMar w:top="1440" w:right="1800" w:bottom="1440" w:left="1800" w:header="851" w:footer="992" w:gutter="0"/>
          <w:cols w:space="425" w:num="1"/>
          <w:docGrid w:type="lines" w:linePitch="312" w:charSpace="0"/>
        </w:sectPr>
      </w:pPr>
      <w:r>
        <w:rPr>
          <w:rFonts w:hint="eastAsia" w:asciiTheme="majorEastAsia" w:hAnsiTheme="majorEastAsia" w:eastAsiaTheme="majorEastAsia" w:cstheme="majorEastAsia"/>
          <w:lang w:val="en-US" w:eastAsia="zh-CN"/>
        </w:rPr>
        <w:t>四、</w:t>
      </w:r>
      <w:r>
        <w:rPr>
          <w:rFonts w:hint="eastAsia" w:asciiTheme="majorEastAsia" w:hAnsiTheme="majorEastAsia" w:eastAsiaTheme="majorEastAsia" w:cstheme="majorEastAsia"/>
          <w:sz w:val="24"/>
          <w:szCs w:val="24"/>
          <w:lang w:val="en-US" w:eastAsia="zh-CN"/>
        </w:rPr>
        <w:t>具体实施用户详</w:t>
      </w:r>
      <w:r>
        <w:rPr>
          <w:rFonts w:hint="eastAsia" w:asciiTheme="majorEastAsia" w:hAnsiTheme="majorEastAsia" w:eastAsiaTheme="majorEastAsia" w:cstheme="majorEastAsia"/>
          <w:color w:val="auto"/>
          <w:kern w:val="2"/>
          <w:sz w:val="24"/>
          <w:szCs w:val="24"/>
        </w:rPr>
        <w:t>射洪市</w:t>
      </w:r>
      <w:r>
        <w:rPr>
          <w:rFonts w:hint="eastAsia" w:asciiTheme="majorEastAsia" w:hAnsiTheme="majorEastAsia" w:eastAsiaTheme="majorEastAsia" w:cstheme="majorEastAsia"/>
          <w:color w:val="auto"/>
          <w:kern w:val="2"/>
          <w:sz w:val="24"/>
          <w:szCs w:val="24"/>
          <w:lang w:val="en-US" w:eastAsia="zh-CN"/>
        </w:rPr>
        <w:t>青岗镇幸福村村民委员会提供的名单及地址。</w:t>
      </w:r>
    </w:p>
    <w:p>
      <w:pPr>
        <w:spacing w:line="600" w:lineRule="exact"/>
        <w:ind w:firstLine="0" w:firstLineChars="0"/>
        <w:jc w:val="left"/>
        <w:rPr>
          <w:rFonts w:hint="default"/>
          <w:b/>
          <w:sz w:val="30"/>
          <w:szCs w:val="30"/>
          <w:lang w:val="en-US" w:eastAsia="zh-CN"/>
        </w:rPr>
      </w:pPr>
    </w:p>
    <w:sectPr>
      <w:pgSz w:w="16839" w:h="23814"/>
      <w:pgMar w:top="1440" w:right="1800" w:bottom="1440" w:left="1860" w:header="851" w:footer="992" w:gutter="0"/>
      <w:cols w:space="425" w:num="1"/>
      <w:docGrid w:type="lines" w:linePitch="381"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ind w:firstLine="560"/>
      </w:pPr>
      <w:r>
        <w:separator/>
      </w:r>
    </w:p>
  </w:endnote>
  <w:endnote w:type="continuationSeparator" w:id="1">
    <w:p>
      <w:pPr>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1"/>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Informal Roman">
    <w:panose1 w:val="030604020304060B0204"/>
    <w:charset w:val="00"/>
    <w:family w:val="script"/>
    <w:pitch w:val="default"/>
    <w:sig w:usb0="00000003" w:usb1="00000000" w:usb2="00000000" w:usb3="00000000" w:csb0="20000001" w:csb1="00000000"/>
  </w:font>
  <w:font w:name="微软雅黑">
    <w:panose1 w:val="020B0503020204020204"/>
    <w:charset w:val="86"/>
    <w:family w:val="auto"/>
    <w:pitch w:val="default"/>
    <w:sig w:usb0="80000287" w:usb1="2ACF3C50" w:usb2="00000016" w:usb3="00000000" w:csb0="0004001F" w:csb1="00000000"/>
  </w:font>
  <w:font w:name="方正宋体S-超大字符集">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ind w:firstLine="360"/>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2"/>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a:effectLst/>
                    </wps:spPr>
                    <wps:txbx>
                      <w:txbxContent>
                        <w:p>
                          <w:pPr>
                            <w:pStyle w:val="12"/>
                            <w:ind w:firstLine="420"/>
                            <w:rPr>
                              <w:sz w:val="21"/>
                              <w:szCs w:val="21"/>
                            </w:rPr>
                          </w:pPr>
                          <w:r>
                            <w:rPr>
                              <w:sz w:val="21"/>
                              <w:szCs w:val="21"/>
                            </w:rPr>
                            <w:fldChar w:fldCharType="begin"/>
                          </w:r>
                          <w:r>
                            <w:rPr>
                              <w:sz w:val="21"/>
                              <w:szCs w:val="21"/>
                            </w:rPr>
                            <w:instrText xml:space="preserve"> PAGE  \* MERGEFORMAT </w:instrText>
                          </w:r>
                          <w:r>
                            <w:rPr>
                              <w:sz w:val="21"/>
                              <w:szCs w:val="21"/>
                            </w:rPr>
                            <w:fldChar w:fldCharType="separate"/>
                          </w:r>
                          <w:r>
                            <w:rPr>
                              <w:sz w:val="21"/>
                              <w:szCs w:val="21"/>
                            </w:rPr>
                            <w:t>I</w:t>
                          </w:r>
                          <w:r>
                            <w:rPr>
                              <w:sz w:val="21"/>
                              <w:szCs w:val="21"/>
                            </w:rPr>
                            <w:fldChar w:fldCharType="end"/>
                          </w:r>
                        </w:p>
                      </w:txbxContent>
                    </wps:txbx>
                    <wps:bodyPr rot="0" spcFirstLastPara="0" vertOverflow="overflow" horzOverflow="overflow" vert="horz" wrap="none" lIns="0" tIns="0" rIns="0" bIns="0" numCol="1" spcCol="0" rtlCol="0" fromWordArt="false" anchor="t" anchorCtr="false" forceAA="false" compatLnSpc="true">
                      <a:spAutoFit/>
                    </wps:bodyPr>
                  </wps:wsp>
                </a:graphicData>
              </a:graphic>
            </wp:anchor>
          </w:drawing>
        </mc:Choice>
        <mc:Fallback>
          <w:pict>
            <v:shape id="文本框 2"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WAAAAZHJzL1BLAQIUABQAAAAI&#10;AIdO4kCzSVju0AAAAAUBAAAPAAAAAAAAAAEAIAAAADgAAABkcnMvZG93bnJldi54bWxQSwECFAAU&#10;AAAACACHTuJAwgMtVRwCAAAnBAAADgAAAAAAAAABACAAAAA1AQAAZHJzL2Uyb0RvYy54bWxQSwUG&#10;AAAAAAYABgBZAQAAwwUAAAAA&#10;">
              <v:fill on="f" focussize="0,0"/>
              <v:stroke on="f" weight="0.5pt"/>
              <v:imagedata o:title=""/>
              <o:lock v:ext="edit" aspectratio="f"/>
              <v:textbox inset="0mm,0mm,0mm,0mm" style="mso-fit-shape-to-text:t;">
                <w:txbxContent>
                  <w:p>
                    <w:pPr>
                      <w:pStyle w:val="12"/>
                      <w:ind w:firstLine="420"/>
                      <w:rPr>
                        <w:sz w:val="21"/>
                        <w:szCs w:val="21"/>
                      </w:rPr>
                    </w:pPr>
                    <w:r>
                      <w:rPr>
                        <w:sz w:val="21"/>
                        <w:szCs w:val="21"/>
                      </w:rPr>
                      <w:fldChar w:fldCharType="begin"/>
                    </w:r>
                    <w:r>
                      <w:rPr>
                        <w:sz w:val="21"/>
                        <w:szCs w:val="21"/>
                      </w:rPr>
                      <w:instrText xml:space="preserve"> PAGE  \* MERGEFORMAT </w:instrText>
                    </w:r>
                    <w:r>
                      <w:rPr>
                        <w:sz w:val="21"/>
                        <w:szCs w:val="21"/>
                      </w:rPr>
                      <w:fldChar w:fldCharType="separate"/>
                    </w:r>
                    <w:r>
                      <w:rPr>
                        <w:sz w:val="21"/>
                        <w:szCs w:val="21"/>
                      </w:rPr>
                      <w:t>I</w:t>
                    </w:r>
                    <w:r>
                      <w:rPr>
                        <w:sz w:val="21"/>
                        <w:szCs w:val="21"/>
                      </w:rP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Pr>
    <w:r>
      <w:rPr>
        <w:sz w:val="18"/>
      </w:rPr>
      <mc:AlternateContent>
        <mc:Choice Requires="wps">
          <w:drawing>
            <wp:anchor distT="0" distB="0" distL="114300" distR="114300" simplePos="0" relativeHeight="251664384" behindDoc="0" locked="0" layoutInCell="1" allowOverlap="1">
              <wp:simplePos x="0" y="0"/>
              <wp:positionH relativeFrom="margin">
                <wp:posOffset>5063490</wp:posOffset>
              </wp:positionH>
              <wp:positionV relativeFrom="paragraph">
                <wp:posOffset>-202565</wp:posOffset>
              </wp:positionV>
              <wp:extent cx="1828800" cy="1828800"/>
              <wp:effectExtent l="0" t="0" r="0" b="0"/>
              <wp:wrapNone/>
              <wp:docPr id="13" name="文本框 13"/>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a:effectLst/>
                    </wps:spPr>
                    <wps:txbx>
                      <w:txbxContent>
                        <w:p>
                          <w:pPr>
                            <w:pStyle w:val="12"/>
                            <w:rPr>
                              <w:rFonts w:hint="eastAsia" w:ascii="宋体" w:hAnsi="宋体" w:eastAsia="宋体" w:cs="宋体"/>
                              <w:sz w:val="28"/>
                              <w:szCs w:val="28"/>
                              <w:lang w:val="en-US" w:eastAsia="zh-CN"/>
                            </w:rPr>
                          </w:pP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lang w:eastAsia="zh-CN"/>
                            </w:rPr>
                            <w:t>1</w:t>
                          </w:r>
                          <w:r>
                            <w:rPr>
                              <w:rFonts w:hint="eastAsia" w:ascii="宋体" w:hAnsi="宋体" w:eastAsia="宋体" w:cs="宋体"/>
                              <w:sz w:val="28"/>
                              <w:szCs w:val="28"/>
                              <w:lang w:eastAsia="zh-CN"/>
                            </w:rPr>
                            <w:fldChar w:fldCharType="end"/>
                          </w:r>
                          <w:r>
                            <w:rPr>
                              <w:rFonts w:hint="eastAsia" w:ascii="宋体" w:hAnsi="宋体" w:eastAsia="宋体" w:cs="宋体"/>
                              <w:sz w:val="28"/>
                              <w:szCs w:val="28"/>
                              <w:lang w:val="en-US" w:eastAsia="zh-CN"/>
                            </w:rPr>
                            <w:t xml:space="preserve"> —</w:t>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left:398.7pt;margin-top:-15.95pt;height:144pt;width:144pt;mso-position-horizontal-relative:margin;mso-wrap-style:none;z-index:251664384;mso-width-relative:page;mso-height-relative:page;" filled="f" stroked="f" coordsize="21600,21600" o:gfxdata="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">
              <v:fill on="f" focussize="0,0"/>
              <v:stroke on="f" weight="0.5pt"/>
              <v:imagedata o:title=""/>
              <o:lock v:ext="edit" aspectratio="f"/>
              <v:textbox inset="0mm,0mm,0mm,0mm" style="mso-fit-shape-to-text:t;">
                <w:txbxContent>
                  <w:p>
                    <w:pPr>
                      <w:pStyle w:val="12"/>
                      <w:rPr>
                        <w:rFonts w:hint="eastAsia" w:ascii="宋体" w:hAnsi="宋体" w:eastAsia="宋体" w:cs="宋体"/>
                        <w:sz w:val="28"/>
                        <w:szCs w:val="28"/>
                        <w:lang w:val="en-US" w:eastAsia="zh-CN"/>
                      </w:rPr>
                    </w:pP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lang w:eastAsia="zh-CN"/>
                      </w:rPr>
                      <w:t>1</w:t>
                    </w:r>
                    <w:r>
                      <w:rPr>
                        <w:rFonts w:hint="eastAsia" w:ascii="宋体" w:hAnsi="宋体" w:eastAsia="宋体" w:cs="宋体"/>
                        <w:sz w:val="28"/>
                        <w:szCs w:val="28"/>
                        <w:lang w:eastAsia="zh-CN"/>
                      </w:rPr>
                      <w:fldChar w:fldCharType="end"/>
                    </w:r>
                    <w:r>
                      <w:rPr>
                        <w:rFonts w:hint="eastAsia" w:ascii="宋体" w:hAnsi="宋体" w:eastAsia="宋体" w:cs="宋体"/>
                        <w:sz w:val="28"/>
                        <w:szCs w:val="28"/>
                        <w:lang w:val="en-US" w:eastAsia="zh-CN"/>
                      </w:rPr>
                      <w:t xml:space="preserve"> —</w:t>
                    </w:r>
                  </w:p>
                </w:txbxContent>
              </v:textbox>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Pr>
    <w:r>
      <w:rPr>
        <w:sz w:val="18"/>
      </w:rPr>
      <mc:AlternateContent>
        <mc:Choice Requires="wps">
          <w:drawing>
            <wp:anchor distT="0" distB="0" distL="114300" distR="114300" simplePos="0" relativeHeight="251663360" behindDoc="0" locked="0" layoutInCell="1" allowOverlap="1">
              <wp:simplePos x="0" y="0"/>
              <wp:positionH relativeFrom="margin">
                <wp:posOffset>5021580</wp:posOffset>
              </wp:positionH>
              <wp:positionV relativeFrom="paragraph">
                <wp:posOffset>-133350</wp:posOffset>
              </wp:positionV>
              <wp:extent cx="1828800" cy="1828800"/>
              <wp:effectExtent l="0" t="0" r="0" b="0"/>
              <wp:wrapNone/>
              <wp:docPr id="50" name="文本框 50"/>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a:effectLst/>
                    </wps:spPr>
                    <wps:txbx>
                      <w:txbxContent>
                        <w:p>
                          <w:pPr>
                            <w:pStyle w:val="12"/>
                            <w:rPr>
                              <w:rFonts w:hint="eastAsia" w:ascii="宋体" w:hAnsi="宋体" w:eastAsia="宋体" w:cs="宋体"/>
                              <w:sz w:val="28"/>
                              <w:szCs w:val="28"/>
                              <w:lang w:eastAsia="zh-CN"/>
                            </w:rPr>
                          </w:pP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lang w:eastAsia="zh-CN"/>
                            </w:rPr>
                            <w:t>9</w:t>
                          </w:r>
                          <w:r>
                            <w:rPr>
                              <w:rFonts w:hint="eastAsia" w:ascii="宋体" w:hAnsi="宋体" w:eastAsia="宋体" w:cs="宋体"/>
                              <w:sz w:val="28"/>
                              <w:szCs w:val="28"/>
                              <w:lang w:eastAsia="zh-CN"/>
                            </w:rPr>
                            <w:fldChar w:fldCharType="end"/>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t>—</w:t>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left:395.4pt;margin-top:-10.5pt;height:144pt;width:144pt;mso-position-horizontal-relative:margin;mso-wrap-style:none;z-index:251663360;mso-width-relative:page;mso-height-relative:page;" filled="f" stroked="f" coordsize="21600,21600" o:gfxdata="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">
              <v:fill on="f" focussize="0,0"/>
              <v:stroke on="f" weight="0.5pt"/>
              <v:imagedata o:title=""/>
              <o:lock v:ext="edit" aspectratio="f"/>
              <v:textbox inset="0mm,0mm,0mm,0mm" style="mso-fit-shape-to-text:t;">
                <w:txbxContent>
                  <w:p>
                    <w:pPr>
                      <w:pStyle w:val="12"/>
                      <w:rPr>
                        <w:rFonts w:hint="eastAsia" w:ascii="宋体" w:hAnsi="宋体" w:eastAsia="宋体" w:cs="宋体"/>
                        <w:sz w:val="28"/>
                        <w:szCs w:val="28"/>
                        <w:lang w:eastAsia="zh-CN"/>
                      </w:rPr>
                    </w:pP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lang w:eastAsia="zh-CN"/>
                      </w:rPr>
                      <w:t>9</w:t>
                    </w:r>
                    <w:r>
                      <w:rPr>
                        <w:rFonts w:hint="eastAsia" w:ascii="宋体" w:hAnsi="宋体" w:eastAsia="宋体" w:cs="宋体"/>
                        <w:sz w:val="28"/>
                        <w:szCs w:val="28"/>
                        <w:lang w:eastAsia="zh-CN"/>
                      </w:rPr>
                      <w:fldChar w:fldCharType="end"/>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t>—</w:t>
                    </w:r>
                  </w:p>
                </w:txbxContent>
              </v:textbox>
            </v:shape>
          </w:pict>
        </mc:Fallback>
      </mc:AlternateContent>
    </w:r>
    <w:r>
      <w:rPr>
        <w:sz w:val="18"/>
      </w:rPr>
      <mc:AlternateContent>
        <mc:Choice Requires="wps">
          <w:drawing>
            <wp:anchor distT="0" distB="0" distL="114300" distR="114300" simplePos="0" relativeHeight="251659264" behindDoc="0" locked="0" layoutInCell="1" allowOverlap="1">
              <wp:simplePos x="0" y="0"/>
              <wp:positionH relativeFrom="margin">
                <wp:posOffset>2605405</wp:posOffset>
              </wp:positionH>
              <wp:positionV relativeFrom="paragraph">
                <wp:posOffset>-104775</wp:posOffset>
              </wp:positionV>
              <wp:extent cx="616585" cy="308610"/>
              <wp:effectExtent l="0" t="0" r="0" b="0"/>
              <wp:wrapNone/>
              <wp:docPr id="51" name="文本框 51"/>
              <wp:cNvGraphicFramePr/>
              <a:graphic xmlns:a="http://schemas.openxmlformats.org/drawingml/2006/main">
                <a:graphicData uri="http://schemas.microsoft.com/office/word/2010/wordprocessingShape">
                  <wps:wsp>
                    <wps:cNvSpPr txBox="true"/>
                    <wps:spPr>
                      <a:xfrm>
                        <a:off x="0" y="0"/>
                        <a:ext cx="616585" cy="308610"/>
                      </a:xfrm>
                      <a:prstGeom prst="rect">
                        <a:avLst/>
                      </a:prstGeom>
                      <a:noFill/>
                      <a:ln w="6350">
                        <a:noFill/>
                      </a:ln>
                      <a:effectLst/>
                    </wps:spPr>
                    <wps:txbx>
                      <w:txbxContent>
                        <w:p>
                          <w:pPr>
                            <w:rPr>
                              <w:rFonts w:hint="eastAsia" w:ascii="宋体" w:hAnsi="宋体" w:eastAsia="宋体" w:cs="宋体"/>
                              <w:sz w:val="28"/>
                              <w:szCs w:val="28"/>
                              <w:lang w:val="en-US" w:eastAsia="zh-CN"/>
                            </w:rPr>
                          </w:pPr>
                        </w:p>
                      </w:txbxContent>
                    </wps:txbx>
                    <wps:bodyPr rot="0" spcFirstLastPara="0" vertOverflow="overflow" horzOverflow="overflow" vert="horz" wrap="square" lIns="0" tIns="0" rIns="0" bIns="0" numCol="1" spcCol="0" rtlCol="0" fromWordArt="false" anchor="t" anchorCtr="false" forceAA="false" upright="false" compatLnSpc="true">
                      <a:noAutofit/>
                    </wps:bodyPr>
                  </wps:wsp>
                </a:graphicData>
              </a:graphic>
            </wp:anchor>
          </w:drawing>
        </mc:Choice>
        <mc:Fallback>
          <w:pict>
            <v:shape id="_x0000_s1026" o:spid="_x0000_s1026" o:spt="202" type="#_x0000_t202" style="position:absolute;left:0pt;margin-left:205.15pt;margin-top:-8.25pt;height:24.3pt;width:48.55pt;mso-position-horizontal-relative:margin;z-index:251659264;mso-width-relative:page;mso-height-relative:page;" filled="f" stroked="f" coordsize="21600,21600" o:gfxdata="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&#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">
              <v:fill on="f" focussize="0,0"/>
              <v:stroke on="f" weight="0.5pt"/>
              <v:imagedata o:title=""/>
              <o:lock v:ext="edit" aspectratio="f"/>
              <v:textbox inset="0mm,0mm,0mm,0mm">
                <w:txbxContent>
                  <w:p>
                    <w:pPr>
                      <w:rPr>
                        <w:rFonts w:hint="eastAsia" w:ascii="宋体" w:hAnsi="宋体" w:eastAsia="宋体" w:cs="宋体"/>
                        <w:sz w:val="28"/>
                        <w:szCs w:val="28"/>
                        <w:lang w:val="en-US" w:eastAsia="zh-CN"/>
                      </w:rPr>
                    </w:pPr>
                  </w:p>
                </w:txbxContent>
              </v:textbox>
            </v:shape>
          </w:pict>
        </mc:Fallback>
      </mc:AlternateContent>
    </w:r>
    <w:r>
      <w:rPr>
        <w:sz w:val="18"/>
      </w:rPr>
      <mc:AlternateContent>
        <mc:Choice Requires="wps">
          <w:drawing>
            <wp:anchor distT="0" distB="0" distL="114300" distR="114300" simplePos="0" relativeHeight="251660288" behindDoc="0" locked="0" layoutInCell="1" allowOverlap="1">
              <wp:simplePos x="0" y="0"/>
              <wp:positionH relativeFrom="margin">
                <wp:align>outside</wp:align>
              </wp:positionH>
              <wp:positionV relativeFrom="paragraph">
                <wp:posOffset>-400050</wp:posOffset>
              </wp:positionV>
              <wp:extent cx="1828800" cy="1828800"/>
              <wp:effectExtent l="0" t="0" r="0" b="0"/>
              <wp:wrapNone/>
              <wp:docPr id="52" name="文本框 52"/>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a:effectLst/>
                    </wps:spPr>
                    <wps:txbx>
                      <w:txbxContent>
                        <w:p>
                          <w:pPr>
                            <w:pStyle w:val="12"/>
                            <w:rPr>
                              <w:rFonts w:hint="eastAsia" w:eastAsia="宋体"/>
                              <w:lang w:eastAsia="zh-CN"/>
                            </w:rPr>
                          </w:pP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31.5pt;height:144pt;width:144pt;mso-position-horizontal:outside;mso-position-horizontal-relative:margin;mso-wrap-style:none;z-index:251660288;mso-width-relative:page;mso-height-relative:page;" filled="f" stroked="f" coordsize="21600,21600" o:gfxdata="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">
              <v:fill on="f" focussize="0,0"/>
              <v:stroke on="f" weight="0.5pt"/>
              <v:imagedata o:title=""/>
              <o:lock v:ext="edit" aspectratio="f"/>
              <v:textbox inset="0mm,0mm,0mm,0mm" style="mso-fit-shape-to-text:t;">
                <w:txbxContent>
                  <w:p>
                    <w:pPr>
                      <w:pStyle w:val="12"/>
                      <w:rPr>
                        <w:rFonts w:hint="eastAsia" w:eastAsia="宋体"/>
                        <w:lang w:eastAsia="zh-CN"/>
                      </w:rPr>
                    </w:pPr>
                  </w:p>
                </w:txbxContent>
              </v:textbox>
            </v:shape>
          </w:pict>
        </mc:Fallback>
      </mc:AlternateConten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Pr>
    <w:r>
      <w:rPr>
        <w:sz w:val="18"/>
      </w:rPr>
      <mc:AlternateContent>
        <mc:Choice Requires="wps">
          <w:drawing>
            <wp:anchor distT="0" distB="0" distL="114300" distR="114300" simplePos="0" relativeHeight="251662336" behindDoc="0" locked="0" layoutInCell="1" allowOverlap="1">
              <wp:simplePos x="0" y="0"/>
              <wp:positionH relativeFrom="margin">
                <wp:posOffset>7700010</wp:posOffset>
              </wp:positionH>
              <wp:positionV relativeFrom="paragraph">
                <wp:posOffset>28575</wp:posOffset>
              </wp:positionV>
              <wp:extent cx="1828800" cy="1828800"/>
              <wp:effectExtent l="0" t="0" r="0" b="0"/>
              <wp:wrapNone/>
              <wp:docPr id="53" name="文本框 53"/>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a:effectLst/>
                    </wps:spPr>
                    <wps:txbx>
                      <w:txbxContent>
                        <w:p>
                          <w:pPr>
                            <w:pStyle w:val="12"/>
                            <w:rPr>
                              <w:rFonts w:hint="eastAsia" w:ascii="宋体" w:hAnsi="宋体" w:eastAsia="宋体" w:cs="宋体"/>
                              <w:sz w:val="28"/>
                              <w:szCs w:val="28"/>
                              <w:lang w:eastAsia="zh-CN"/>
                            </w:rPr>
                          </w:pP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lang w:eastAsia="zh-CN"/>
                            </w:rPr>
                            <w:t>1</w:t>
                          </w:r>
                          <w:r>
                            <w:rPr>
                              <w:rFonts w:hint="eastAsia" w:ascii="宋体" w:hAnsi="宋体" w:eastAsia="宋体" w:cs="宋体"/>
                              <w:sz w:val="28"/>
                              <w:szCs w:val="28"/>
                              <w:lang w:eastAsia="zh-CN"/>
                            </w:rPr>
                            <w:fldChar w:fldCharType="end"/>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t>—</w:t>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left:606.3pt;margin-top:2.25pt;height:144pt;width:144pt;mso-position-horizontal-relative:margin;mso-wrap-style:none;z-index:251662336;mso-width-relative:page;mso-height-relative:page;" filled="f" stroked="f" coordsize="21600,21600" o:gfxdata="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">
              <v:fill on="f" focussize="0,0"/>
              <v:stroke on="f" weight="0.5pt"/>
              <v:imagedata o:title=""/>
              <o:lock v:ext="edit" aspectratio="f"/>
              <v:textbox inset="0mm,0mm,0mm,0mm" style="mso-fit-shape-to-text:t;">
                <w:txbxContent>
                  <w:p>
                    <w:pPr>
                      <w:pStyle w:val="12"/>
                      <w:rPr>
                        <w:rFonts w:hint="eastAsia" w:ascii="宋体" w:hAnsi="宋体" w:eastAsia="宋体" w:cs="宋体"/>
                        <w:sz w:val="28"/>
                        <w:szCs w:val="28"/>
                        <w:lang w:eastAsia="zh-CN"/>
                      </w:rPr>
                    </w:pP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lang w:eastAsia="zh-CN"/>
                      </w:rPr>
                      <w:t>1</w:t>
                    </w:r>
                    <w:r>
                      <w:rPr>
                        <w:rFonts w:hint="eastAsia" w:ascii="宋体" w:hAnsi="宋体" w:eastAsia="宋体" w:cs="宋体"/>
                        <w:sz w:val="28"/>
                        <w:szCs w:val="28"/>
                        <w:lang w:eastAsia="zh-CN"/>
                      </w:rPr>
                      <w:fldChar w:fldCharType="end"/>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t>—</w:t>
                    </w:r>
                  </w:p>
                </w:txbxContent>
              </v:textbox>
            </v:shape>
          </w:pict>
        </mc:Fallback>
      </mc:AlternateContent>
    </w:r>
    <w:r>
      <w:rPr>
        <w:sz w:val="18"/>
      </w:rPr>
      <mc:AlternateContent>
        <mc:Choice Requires="wps">
          <w:drawing>
            <wp:anchor distT="0" distB="0" distL="114300" distR="114300" simplePos="0" relativeHeight="251661312" behindDoc="0" locked="0" layoutInCell="1" allowOverlap="1">
              <wp:simplePos x="0" y="0"/>
              <wp:positionH relativeFrom="margin">
                <wp:posOffset>2595880</wp:posOffset>
              </wp:positionH>
              <wp:positionV relativeFrom="paragraph">
                <wp:posOffset>-104775</wp:posOffset>
              </wp:positionV>
              <wp:extent cx="349885" cy="308610"/>
              <wp:effectExtent l="0" t="0" r="0" b="0"/>
              <wp:wrapNone/>
              <wp:docPr id="54" name="文本框 54"/>
              <wp:cNvGraphicFramePr/>
              <a:graphic xmlns:a="http://schemas.openxmlformats.org/drawingml/2006/main">
                <a:graphicData uri="http://schemas.microsoft.com/office/word/2010/wordprocessingShape">
                  <wps:wsp>
                    <wps:cNvSpPr txBox="true"/>
                    <wps:spPr>
                      <a:xfrm>
                        <a:off x="0" y="0"/>
                        <a:ext cx="349885" cy="308610"/>
                      </a:xfrm>
                      <a:prstGeom prst="rect">
                        <a:avLst/>
                      </a:prstGeom>
                      <a:noFill/>
                      <a:ln w="6350">
                        <a:noFill/>
                      </a:ln>
                      <a:effectLst/>
                    </wps:spPr>
                    <wps:txbx>
                      <w:txbxContent>
                        <w:p>
                          <w:pPr>
                            <w:rPr>
                              <w:rFonts w:hint="eastAsia"/>
                              <w:lang w:val="en-US" w:eastAsia="zh-CN"/>
                            </w:rPr>
                          </w:pPr>
                        </w:p>
                      </w:txbxContent>
                    </wps:txbx>
                    <wps:bodyPr rot="0" spcFirstLastPara="0" vertOverflow="overflow" horzOverflow="overflow" vert="horz" wrap="square" lIns="0" tIns="0" rIns="0" bIns="0" numCol="1" spcCol="0" rtlCol="0" fromWordArt="false" anchor="t" anchorCtr="false" forceAA="false" upright="false" compatLnSpc="true">
                      <a:noAutofit/>
                    </wps:bodyPr>
                  </wps:wsp>
                </a:graphicData>
              </a:graphic>
            </wp:anchor>
          </w:drawing>
        </mc:Choice>
        <mc:Fallback>
          <w:pict>
            <v:shape id="_x0000_s1026" o:spid="_x0000_s1026" o:spt="202" type="#_x0000_t202" style="position:absolute;left:0pt;margin-left:204.4pt;margin-top:-8.25pt;height:24.3pt;width:27.55pt;mso-position-horizontal-relative:margin;z-index:251661312;mso-width-relative:page;mso-height-relative:page;" filled="f" stroked="f" coordsize="21600,21600" o:gfxdata="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">
              <v:fill on="f" focussize="0,0"/>
              <v:stroke on="f" weight="0.5pt"/>
              <v:imagedata o:title=""/>
              <o:lock v:ext="edit" aspectratio="f"/>
              <v:textbox inset="0mm,0mm,0mm,0mm">
                <w:txbxContent>
                  <w:p>
                    <w:pPr>
                      <w:rPr>
                        <w:rFonts w:hint="eastAsia"/>
                        <w:lang w:val="en-US" w:eastAsia="zh-CN"/>
                      </w:rPr>
                    </w:pPr>
                  </w:p>
                </w:txbxContent>
              </v:textbox>
            </v:shape>
          </w:pict>
        </mc:Fallback>
      </mc:AlternateConten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ind w:firstLine="360"/>
      <w:jc w:val="center"/>
      <w:rPr>
        <w:rFonts w:ascii="Times New Roman" w:hAnsi="Times New Roman"/>
        <w:sz w:val="21"/>
        <w:szCs w:val="21"/>
      </w:rPr>
    </w:pPr>
    <w:r>
      <mc:AlternateContent>
        <mc:Choice Requires="wps">
          <w:drawing>
            <wp:anchor distT="0" distB="0" distL="114300" distR="114300" simplePos="0" relativeHeight="251664384"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4"/>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a:effectLst/>
                    </wps:spPr>
                    <wps:txbx>
                      <w:txbxContent>
                        <w:p>
                          <w:pPr>
                            <w:pStyle w:val="12"/>
                            <w:ind w:firstLine="420"/>
                            <w:jc w:val="center"/>
                            <w:rPr>
                              <w:rFonts w:ascii="Times New Roman" w:hAnsi="Times New Roman"/>
                              <w:sz w:val="21"/>
                              <w:szCs w:val="21"/>
                            </w:rPr>
                          </w:pPr>
                          <w:r>
                            <w:rPr>
                              <w:rFonts w:ascii="Times New Roman" w:hAnsi="Times New Roman"/>
                              <w:sz w:val="21"/>
                              <w:szCs w:val="21"/>
                            </w:rPr>
                            <w:fldChar w:fldCharType="begin"/>
                          </w:r>
                          <w:r>
                            <w:rPr>
                              <w:rFonts w:ascii="Times New Roman" w:hAnsi="Times New Roman"/>
                              <w:sz w:val="21"/>
                              <w:szCs w:val="21"/>
                            </w:rPr>
                            <w:instrText xml:space="preserve">PAGE   \* MERGEFORMAT</w:instrText>
                          </w:r>
                          <w:r>
                            <w:rPr>
                              <w:rFonts w:ascii="Times New Roman" w:hAnsi="Times New Roman"/>
                              <w:sz w:val="21"/>
                              <w:szCs w:val="21"/>
                            </w:rPr>
                            <w:fldChar w:fldCharType="separate"/>
                          </w:r>
                          <w:r>
                            <w:rPr>
                              <w:rFonts w:ascii="Times New Roman" w:hAnsi="Times New Roman"/>
                              <w:sz w:val="21"/>
                              <w:szCs w:val="21"/>
                              <w:lang w:val="zh-CN"/>
                            </w:rPr>
                            <w:t>61</w:t>
                          </w:r>
                          <w:r>
                            <w:rPr>
                              <w:rFonts w:ascii="Times New Roman" w:hAnsi="Times New Roman"/>
                              <w:sz w:val="21"/>
                              <w:szCs w:val="21"/>
                            </w:rPr>
                            <w:fldChar w:fldCharType="end"/>
                          </w:r>
                        </w:p>
                        <w:p>
                          <w:pPr>
                            <w:ind w:firstLine="420"/>
                            <w:rPr>
                              <w:rFonts w:ascii="Times New Roman" w:hAnsi="Times New Roman"/>
                              <w:sz w:val="21"/>
                              <w:szCs w:val="21"/>
                            </w:rPr>
                          </w:pPr>
                        </w:p>
                      </w:txbxContent>
                    </wps:txbx>
                    <wps:bodyPr rot="0" spcFirstLastPara="0" vertOverflow="overflow" horzOverflow="overflow" vert="horz" wrap="none" lIns="0" tIns="0" rIns="0" bIns="0" numCol="1" spcCol="0" rtlCol="0" fromWordArt="false" anchor="t" anchorCtr="false" forceAA="false" compatLnSpc="true">
                      <a:spAutoFit/>
                    </wps:bodyPr>
                  </wps:wsp>
                </a:graphicData>
              </a:graphic>
            </wp:anchor>
          </w:drawing>
        </mc:Choice>
        <mc:Fallback>
          <w:pict>
            <v:shape id="文本框 4" o:spid="_x0000_s1026" o:spt="202" type="#_x0000_t202" style="position:absolute;left:0pt;margin-top:0pt;height:144pt;width:144pt;mso-position-horizontal:center;mso-position-horizontal-relative:margin;mso-wrap-style:none;z-index:25166438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WAAAAZHJzL1BLAQIUABQAAAAI&#10;AIdO4kCzSVju0AAAAAUBAAAPAAAAAAAAAAEAIAAAADgAAABkcnMvZG93bnJldi54bWxQSwECFAAU&#10;AAAACACHTuJAls/NXRwCAAAnBAAADgAAAAAAAAABACAAAAA1AQAAZHJzL2Uyb0RvYy54bWxQSwUG&#10;AAAAAAYABgBZAQAAwwUAAAAA&#10;">
              <v:fill on="f" focussize="0,0"/>
              <v:stroke on="f" weight="0.5pt"/>
              <v:imagedata o:title=""/>
              <o:lock v:ext="edit" aspectratio="f"/>
              <v:textbox inset="0mm,0mm,0mm,0mm" style="mso-fit-shape-to-text:t;">
                <w:txbxContent>
                  <w:p>
                    <w:pPr>
                      <w:pStyle w:val="12"/>
                      <w:ind w:firstLine="420"/>
                      <w:jc w:val="center"/>
                      <w:rPr>
                        <w:rFonts w:ascii="Times New Roman" w:hAnsi="Times New Roman"/>
                        <w:sz w:val="21"/>
                        <w:szCs w:val="21"/>
                      </w:rPr>
                    </w:pPr>
                    <w:r>
                      <w:rPr>
                        <w:rFonts w:ascii="Times New Roman" w:hAnsi="Times New Roman"/>
                        <w:sz w:val="21"/>
                        <w:szCs w:val="21"/>
                      </w:rPr>
                      <w:fldChar w:fldCharType="begin"/>
                    </w:r>
                    <w:r>
                      <w:rPr>
                        <w:rFonts w:ascii="Times New Roman" w:hAnsi="Times New Roman"/>
                        <w:sz w:val="21"/>
                        <w:szCs w:val="21"/>
                      </w:rPr>
                      <w:instrText xml:space="preserve">PAGE   \* MERGEFORMAT</w:instrText>
                    </w:r>
                    <w:r>
                      <w:rPr>
                        <w:rFonts w:ascii="Times New Roman" w:hAnsi="Times New Roman"/>
                        <w:sz w:val="21"/>
                        <w:szCs w:val="21"/>
                      </w:rPr>
                      <w:fldChar w:fldCharType="separate"/>
                    </w:r>
                    <w:r>
                      <w:rPr>
                        <w:rFonts w:ascii="Times New Roman" w:hAnsi="Times New Roman"/>
                        <w:sz w:val="21"/>
                        <w:szCs w:val="21"/>
                        <w:lang w:val="zh-CN"/>
                      </w:rPr>
                      <w:t>61</w:t>
                    </w:r>
                    <w:r>
                      <w:rPr>
                        <w:rFonts w:ascii="Times New Roman" w:hAnsi="Times New Roman"/>
                        <w:sz w:val="21"/>
                        <w:szCs w:val="21"/>
                      </w:rPr>
                      <w:fldChar w:fldCharType="end"/>
                    </w:r>
                  </w:p>
                  <w:p>
                    <w:pPr>
                      <w:ind w:firstLine="420"/>
                      <w:rPr>
                        <w:rFonts w:ascii="Times New Roman" w:hAnsi="Times New Roman"/>
                        <w:sz w:val="21"/>
                        <w:szCs w:val="21"/>
                      </w:rPr>
                    </w:pPr>
                  </w:p>
                </w:txbxContent>
              </v:textbox>
            </v:shape>
          </w:pict>
        </mc:Fallback>
      </mc:AlternateContent>
    </w:r>
  </w:p>
  <w:p>
    <w:pPr>
      <w:pStyle w:val="12"/>
      <w:ind w:firstLine="360"/>
    </w:pPr>
    <w:bookmarkStart w:id="23" w:name="_GoBack"/>
    <w:bookmarkEnd w:id="23"/>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ind w:firstLine="560"/>
      </w:pPr>
      <w:r>
        <w:separator/>
      </w:r>
    </w:p>
  </w:footnote>
  <w:footnote w:type="continuationSeparator" w:id="1">
    <w:p>
      <w:pPr>
        <w:ind w:firstLine="56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Bdr>
        <w:top w:val="none" w:color="auto" w:sz="0" w:space="0"/>
        <w:left w:val="none" w:color="auto" w:sz="0" w:space="0"/>
        <w:bottom w:val="none" w:color="auto" w:sz="0" w:space="0"/>
        <w:right w:val="none" w:color="auto" w:sz="0" w:space="0"/>
      </w:pBd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Bdr>
        <w:top w:val="none" w:color="auto" w:sz="0" w:space="0"/>
        <w:left w:val="none" w:color="auto" w:sz="0" w:space="0"/>
        <w:bottom w:val="none" w:color="auto" w:sz="0" w:space="0"/>
        <w:right w:val="none" w:color="auto" w:sz="0" w:space="0"/>
      </w:pBdr>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Bdr>
        <w:top w:val="none" w:color="auto" w:sz="0" w:space="0"/>
        <w:left w:val="none" w:color="auto" w:sz="0" w:space="0"/>
        <w:bottom w:val="none" w:color="auto" w:sz="0" w:space="0"/>
        <w:right w:val="none" w:color="auto" w:sz="0" w:space="0"/>
      </w:pBdr>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261A8AA"/>
    <w:multiLevelType w:val="singleLevel"/>
    <w:tmpl w:val="8261A8AA"/>
    <w:lvl w:ilvl="0" w:tentative="0">
      <w:start w:val="2"/>
      <w:numFmt w:val="decimal"/>
      <w:suff w:val="nothing"/>
      <w:lvlText w:val="%1、"/>
      <w:lvlJc w:val="left"/>
    </w:lvl>
  </w:abstractNum>
  <w:abstractNum w:abstractNumId="1">
    <w:nsid w:val="E3F841CE"/>
    <w:multiLevelType w:val="singleLevel"/>
    <w:tmpl w:val="E3F841CE"/>
    <w:lvl w:ilvl="0" w:tentative="0">
      <w:start w:val="1"/>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false"/>
  <w:bordersDoNotSurroundFooter w:val="false"/>
  <w:documentProtection w:enforcement="0"/>
  <w:defaultTabStop w:val="420"/>
  <w:drawingGridHorizontalSpacing w:val="140"/>
  <w:drawingGridVerticalSpacing w:val="381"/>
  <w:displayHorizontalDrawingGridEvery w:val="1"/>
  <w:displayVerticalDrawingGridEvery w:val="1"/>
  <w:noPunctuationKerning w:val="true"/>
  <w:characterSpacingControl w:val="compressPunctuation"/>
  <w:noLineBreaksAfter w:lang="zh-CN" w:val="$([{£¥·‘“〈《「『【〔〖〝﹙﹛﹝＄（．［｛￡￥"/>
  <w:noLineBreaksBefore w:lang="zh-CN" w:val="!%),.:;&gt;?]}¢¨°·ˇˉ―‖’”…‰′″›℃∶、。〃〉》」』】〕〗〞︶︺︾﹀﹄﹚﹜﹞！＂％＇），．：；？］｀｜｝～￠"/>
  <w:footnotePr>
    <w:footnote w:id="0"/>
    <w:footnote w:id="1"/>
  </w:footnotePr>
  <w:endnotePr>
    <w:endnote w:id="0"/>
    <w:endnote w:id="1"/>
  </w:endnotePr>
  <w:compat>
    <w:spaceForUL/>
    <w:balanceSingleByteDoubleByteWidth/>
    <w:doNotLeaveBackslashAlone/>
    <w:doNotExpandShiftReturn/>
    <w:adjustLineHeightInTable/>
    <w:doNotWrapTextWithPunct/>
    <w:doNotUseEastAsianBreakRules/>
    <w:useFELayout/>
    <w:doNotUseIndentAsNumberingTabStop/>
    <w:useAltKinsokuLineBreakRules/>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00290"/>
    <w:rsid w:val="000007EB"/>
    <w:rsid w:val="00001190"/>
    <w:rsid w:val="0000284A"/>
    <w:rsid w:val="000047DF"/>
    <w:rsid w:val="0000597F"/>
    <w:rsid w:val="000076B8"/>
    <w:rsid w:val="0000780E"/>
    <w:rsid w:val="00007949"/>
    <w:rsid w:val="0001048C"/>
    <w:rsid w:val="00010917"/>
    <w:rsid w:val="000117DF"/>
    <w:rsid w:val="0001281A"/>
    <w:rsid w:val="00012E13"/>
    <w:rsid w:val="0001323F"/>
    <w:rsid w:val="00014BC4"/>
    <w:rsid w:val="00016051"/>
    <w:rsid w:val="000176F7"/>
    <w:rsid w:val="00017BB8"/>
    <w:rsid w:val="00017C21"/>
    <w:rsid w:val="00020125"/>
    <w:rsid w:val="000208BD"/>
    <w:rsid w:val="00020AC1"/>
    <w:rsid w:val="0002144B"/>
    <w:rsid w:val="00021540"/>
    <w:rsid w:val="00023538"/>
    <w:rsid w:val="00027B9C"/>
    <w:rsid w:val="00030BE6"/>
    <w:rsid w:val="00031414"/>
    <w:rsid w:val="000317F5"/>
    <w:rsid w:val="000318D9"/>
    <w:rsid w:val="0003218A"/>
    <w:rsid w:val="000325CF"/>
    <w:rsid w:val="00032D64"/>
    <w:rsid w:val="00032EC7"/>
    <w:rsid w:val="00036722"/>
    <w:rsid w:val="0003783E"/>
    <w:rsid w:val="0003790C"/>
    <w:rsid w:val="00037CD1"/>
    <w:rsid w:val="00037EB9"/>
    <w:rsid w:val="00040CBA"/>
    <w:rsid w:val="00041020"/>
    <w:rsid w:val="0004141B"/>
    <w:rsid w:val="00041848"/>
    <w:rsid w:val="00041E95"/>
    <w:rsid w:val="00042792"/>
    <w:rsid w:val="000430E2"/>
    <w:rsid w:val="00043CAB"/>
    <w:rsid w:val="000462D5"/>
    <w:rsid w:val="0004655F"/>
    <w:rsid w:val="0004724D"/>
    <w:rsid w:val="00050BAD"/>
    <w:rsid w:val="0005132D"/>
    <w:rsid w:val="000535B9"/>
    <w:rsid w:val="00054FFA"/>
    <w:rsid w:val="000557F5"/>
    <w:rsid w:val="000559AD"/>
    <w:rsid w:val="00055CD0"/>
    <w:rsid w:val="000571A7"/>
    <w:rsid w:val="00057307"/>
    <w:rsid w:val="00057FAF"/>
    <w:rsid w:val="00060BFC"/>
    <w:rsid w:val="00060E79"/>
    <w:rsid w:val="00061467"/>
    <w:rsid w:val="000621EE"/>
    <w:rsid w:val="00063366"/>
    <w:rsid w:val="00063B71"/>
    <w:rsid w:val="0006402A"/>
    <w:rsid w:val="00066FCD"/>
    <w:rsid w:val="000679F4"/>
    <w:rsid w:val="00070ACF"/>
    <w:rsid w:val="0007182E"/>
    <w:rsid w:val="00073444"/>
    <w:rsid w:val="00075C12"/>
    <w:rsid w:val="00075FDE"/>
    <w:rsid w:val="000775AD"/>
    <w:rsid w:val="000776E3"/>
    <w:rsid w:val="00077DFE"/>
    <w:rsid w:val="00081A87"/>
    <w:rsid w:val="00082481"/>
    <w:rsid w:val="00082C8E"/>
    <w:rsid w:val="00084608"/>
    <w:rsid w:val="0008527F"/>
    <w:rsid w:val="000854DC"/>
    <w:rsid w:val="00085AE4"/>
    <w:rsid w:val="00085CA9"/>
    <w:rsid w:val="000860B9"/>
    <w:rsid w:val="00086FFC"/>
    <w:rsid w:val="000875BE"/>
    <w:rsid w:val="00090BE5"/>
    <w:rsid w:val="000930BD"/>
    <w:rsid w:val="00094503"/>
    <w:rsid w:val="00095957"/>
    <w:rsid w:val="00095F7F"/>
    <w:rsid w:val="00097D1A"/>
    <w:rsid w:val="000A0E14"/>
    <w:rsid w:val="000A184C"/>
    <w:rsid w:val="000A2E6B"/>
    <w:rsid w:val="000A3C9B"/>
    <w:rsid w:val="000A3DFF"/>
    <w:rsid w:val="000A4830"/>
    <w:rsid w:val="000A5D43"/>
    <w:rsid w:val="000B0E1A"/>
    <w:rsid w:val="000B2552"/>
    <w:rsid w:val="000B2EF8"/>
    <w:rsid w:val="000B30E9"/>
    <w:rsid w:val="000B427F"/>
    <w:rsid w:val="000B601E"/>
    <w:rsid w:val="000B603B"/>
    <w:rsid w:val="000C01A7"/>
    <w:rsid w:val="000C1ADC"/>
    <w:rsid w:val="000C29AF"/>
    <w:rsid w:val="000C5A0A"/>
    <w:rsid w:val="000C659C"/>
    <w:rsid w:val="000C65DC"/>
    <w:rsid w:val="000C75B7"/>
    <w:rsid w:val="000D0C33"/>
    <w:rsid w:val="000D642D"/>
    <w:rsid w:val="000D6C43"/>
    <w:rsid w:val="000D7465"/>
    <w:rsid w:val="000D7D41"/>
    <w:rsid w:val="000E01BC"/>
    <w:rsid w:val="000E3084"/>
    <w:rsid w:val="000E5C66"/>
    <w:rsid w:val="000E7230"/>
    <w:rsid w:val="000E79DB"/>
    <w:rsid w:val="000E7B65"/>
    <w:rsid w:val="000F37D5"/>
    <w:rsid w:val="000F413A"/>
    <w:rsid w:val="000F57AF"/>
    <w:rsid w:val="000F73EB"/>
    <w:rsid w:val="000F775A"/>
    <w:rsid w:val="00101FE9"/>
    <w:rsid w:val="00103B9A"/>
    <w:rsid w:val="00103D90"/>
    <w:rsid w:val="00104F11"/>
    <w:rsid w:val="001063F9"/>
    <w:rsid w:val="0010687A"/>
    <w:rsid w:val="00106FCF"/>
    <w:rsid w:val="00107EF0"/>
    <w:rsid w:val="00110C88"/>
    <w:rsid w:val="00111C6C"/>
    <w:rsid w:val="001126F3"/>
    <w:rsid w:val="00112E52"/>
    <w:rsid w:val="00114C29"/>
    <w:rsid w:val="001176A4"/>
    <w:rsid w:val="0011798F"/>
    <w:rsid w:val="00117A3C"/>
    <w:rsid w:val="00120DCD"/>
    <w:rsid w:val="00121F5E"/>
    <w:rsid w:val="001224AD"/>
    <w:rsid w:val="00122621"/>
    <w:rsid w:val="00122B13"/>
    <w:rsid w:val="00123EF3"/>
    <w:rsid w:val="00125B73"/>
    <w:rsid w:val="00125D12"/>
    <w:rsid w:val="00125DAD"/>
    <w:rsid w:val="00126921"/>
    <w:rsid w:val="001276DF"/>
    <w:rsid w:val="00131E75"/>
    <w:rsid w:val="0013258E"/>
    <w:rsid w:val="001342BD"/>
    <w:rsid w:val="001365F3"/>
    <w:rsid w:val="001365FE"/>
    <w:rsid w:val="00136DB7"/>
    <w:rsid w:val="00141F1D"/>
    <w:rsid w:val="00142BFF"/>
    <w:rsid w:val="0014504D"/>
    <w:rsid w:val="00145C77"/>
    <w:rsid w:val="00146F80"/>
    <w:rsid w:val="001501E7"/>
    <w:rsid w:val="00150691"/>
    <w:rsid w:val="0015087B"/>
    <w:rsid w:val="00151493"/>
    <w:rsid w:val="00152443"/>
    <w:rsid w:val="001546B1"/>
    <w:rsid w:val="001568CF"/>
    <w:rsid w:val="00157F7E"/>
    <w:rsid w:val="00160F75"/>
    <w:rsid w:val="00161BD2"/>
    <w:rsid w:val="001625D5"/>
    <w:rsid w:val="00162C5A"/>
    <w:rsid w:val="00163563"/>
    <w:rsid w:val="0016388F"/>
    <w:rsid w:val="00165909"/>
    <w:rsid w:val="00165C82"/>
    <w:rsid w:val="00167DBB"/>
    <w:rsid w:val="00171805"/>
    <w:rsid w:val="00171C25"/>
    <w:rsid w:val="0017220A"/>
    <w:rsid w:val="00172A27"/>
    <w:rsid w:val="00173049"/>
    <w:rsid w:val="00173A7D"/>
    <w:rsid w:val="001744B0"/>
    <w:rsid w:val="00174BD7"/>
    <w:rsid w:val="00175B76"/>
    <w:rsid w:val="001773AA"/>
    <w:rsid w:val="001809B1"/>
    <w:rsid w:val="00180A57"/>
    <w:rsid w:val="001812B6"/>
    <w:rsid w:val="00181328"/>
    <w:rsid w:val="00181B29"/>
    <w:rsid w:val="001828F6"/>
    <w:rsid w:val="001829DF"/>
    <w:rsid w:val="00183509"/>
    <w:rsid w:val="00183D2C"/>
    <w:rsid w:val="00183F48"/>
    <w:rsid w:val="001840DD"/>
    <w:rsid w:val="0018488B"/>
    <w:rsid w:val="001858CD"/>
    <w:rsid w:val="001874F9"/>
    <w:rsid w:val="00187FCB"/>
    <w:rsid w:val="00192E1D"/>
    <w:rsid w:val="001946F8"/>
    <w:rsid w:val="001954B2"/>
    <w:rsid w:val="00195C69"/>
    <w:rsid w:val="00196F21"/>
    <w:rsid w:val="001971CE"/>
    <w:rsid w:val="00197966"/>
    <w:rsid w:val="001A0518"/>
    <w:rsid w:val="001A0EA8"/>
    <w:rsid w:val="001A1B08"/>
    <w:rsid w:val="001A20CA"/>
    <w:rsid w:val="001A4A5B"/>
    <w:rsid w:val="001A637E"/>
    <w:rsid w:val="001B0072"/>
    <w:rsid w:val="001B254A"/>
    <w:rsid w:val="001B2AB2"/>
    <w:rsid w:val="001B2E34"/>
    <w:rsid w:val="001B3C65"/>
    <w:rsid w:val="001B4851"/>
    <w:rsid w:val="001B49A2"/>
    <w:rsid w:val="001B5330"/>
    <w:rsid w:val="001B6B82"/>
    <w:rsid w:val="001B76FE"/>
    <w:rsid w:val="001C117E"/>
    <w:rsid w:val="001C2A8A"/>
    <w:rsid w:val="001C51AA"/>
    <w:rsid w:val="001C5E8C"/>
    <w:rsid w:val="001C6344"/>
    <w:rsid w:val="001C70C8"/>
    <w:rsid w:val="001C7172"/>
    <w:rsid w:val="001C71AE"/>
    <w:rsid w:val="001D20BF"/>
    <w:rsid w:val="001D583A"/>
    <w:rsid w:val="001D5C0A"/>
    <w:rsid w:val="001D5F7D"/>
    <w:rsid w:val="001D68B2"/>
    <w:rsid w:val="001D68DE"/>
    <w:rsid w:val="001D6AFA"/>
    <w:rsid w:val="001D6B6E"/>
    <w:rsid w:val="001E112B"/>
    <w:rsid w:val="001E17D1"/>
    <w:rsid w:val="001E1F45"/>
    <w:rsid w:val="001E3B2B"/>
    <w:rsid w:val="001E4896"/>
    <w:rsid w:val="001E50FC"/>
    <w:rsid w:val="001E5726"/>
    <w:rsid w:val="001E6EA9"/>
    <w:rsid w:val="001E7594"/>
    <w:rsid w:val="001E77CC"/>
    <w:rsid w:val="001E793F"/>
    <w:rsid w:val="001E7FC3"/>
    <w:rsid w:val="001F1412"/>
    <w:rsid w:val="001F41B5"/>
    <w:rsid w:val="001F6264"/>
    <w:rsid w:val="001F66CB"/>
    <w:rsid w:val="002010FD"/>
    <w:rsid w:val="00201D15"/>
    <w:rsid w:val="002028B0"/>
    <w:rsid w:val="0020383D"/>
    <w:rsid w:val="0020387E"/>
    <w:rsid w:val="00210200"/>
    <w:rsid w:val="002103BF"/>
    <w:rsid w:val="00210819"/>
    <w:rsid w:val="002117AB"/>
    <w:rsid w:val="00213F58"/>
    <w:rsid w:val="0021474B"/>
    <w:rsid w:val="00214AC9"/>
    <w:rsid w:val="00215461"/>
    <w:rsid w:val="00215482"/>
    <w:rsid w:val="002166CF"/>
    <w:rsid w:val="0021779D"/>
    <w:rsid w:val="0022081C"/>
    <w:rsid w:val="002217CD"/>
    <w:rsid w:val="002228D7"/>
    <w:rsid w:val="00222986"/>
    <w:rsid w:val="002234B7"/>
    <w:rsid w:val="00224566"/>
    <w:rsid w:val="00224E82"/>
    <w:rsid w:val="002251AD"/>
    <w:rsid w:val="00225971"/>
    <w:rsid w:val="00227603"/>
    <w:rsid w:val="002276C1"/>
    <w:rsid w:val="00227AAC"/>
    <w:rsid w:val="00227CFA"/>
    <w:rsid w:val="0023013B"/>
    <w:rsid w:val="00230520"/>
    <w:rsid w:val="0023191F"/>
    <w:rsid w:val="00231C1D"/>
    <w:rsid w:val="002346DE"/>
    <w:rsid w:val="0023532B"/>
    <w:rsid w:val="00236848"/>
    <w:rsid w:val="00237F3F"/>
    <w:rsid w:val="0024055B"/>
    <w:rsid w:val="00240752"/>
    <w:rsid w:val="00241D05"/>
    <w:rsid w:val="002435D4"/>
    <w:rsid w:val="00244979"/>
    <w:rsid w:val="00244E4B"/>
    <w:rsid w:val="002461EB"/>
    <w:rsid w:val="002479B4"/>
    <w:rsid w:val="002510C8"/>
    <w:rsid w:val="002510F3"/>
    <w:rsid w:val="00252D6E"/>
    <w:rsid w:val="00253CFB"/>
    <w:rsid w:val="002559C7"/>
    <w:rsid w:val="002600C4"/>
    <w:rsid w:val="002604D1"/>
    <w:rsid w:val="0026164D"/>
    <w:rsid w:val="00261DE0"/>
    <w:rsid w:val="00263DC9"/>
    <w:rsid w:val="002659F9"/>
    <w:rsid w:val="00266FA9"/>
    <w:rsid w:val="002700ED"/>
    <w:rsid w:val="00270D91"/>
    <w:rsid w:val="00270F51"/>
    <w:rsid w:val="00270F69"/>
    <w:rsid w:val="00271853"/>
    <w:rsid w:val="00271D66"/>
    <w:rsid w:val="0027201A"/>
    <w:rsid w:val="00274B82"/>
    <w:rsid w:val="00275871"/>
    <w:rsid w:val="00276E51"/>
    <w:rsid w:val="00277A9A"/>
    <w:rsid w:val="00280DB1"/>
    <w:rsid w:val="00283CFD"/>
    <w:rsid w:val="00284351"/>
    <w:rsid w:val="002859FA"/>
    <w:rsid w:val="002909ED"/>
    <w:rsid w:val="00292A60"/>
    <w:rsid w:val="00293E0F"/>
    <w:rsid w:val="002974F1"/>
    <w:rsid w:val="002978D3"/>
    <w:rsid w:val="00297B33"/>
    <w:rsid w:val="002A67C8"/>
    <w:rsid w:val="002B01EC"/>
    <w:rsid w:val="002B059B"/>
    <w:rsid w:val="002B06B0"/>
    <w:rsid w:val="002B0808"/>
    <w:rsid w:val="002B12FE"/>
    <w:rsid w:val="002B305E"/>
    <w:rsid w:val="002B3625"/>
    <w:rsid w:val="002B5097"/>
    <w:rsid w:val="002B5E74"/>
    <w:rsid w:val="002B6207"/>
    <w:rsid w:val="002B661A"/>
    <w:rsid w:val="002B79CC"/>
    <w:rsid w:val="002C035E"/>
    <w:rsid w:val="002C05A0"/>
    <w:rsid w:val="002C100B"/>
    <w:rsid w:val="002C110D"/>
    <w:rsid w:val="002C111E"/>
    <w:rsid w:val="002C17B2"/>
    <w:rsid w:val="002C29CD"/>
    <w:rsid w:val="002C332B"/>
    <w:rsid w:val="002C3B70"/>
    <w:rsid w:val="002C47FC"/>
    <w:rsid w:val="002C5C1C"/>
    <w:rsid w:val="002C649F"/>
    <w:rsid w:val="002C6D88"/>
    <w:rsid w:val="002C71FA"/>
    <w:rsid w:val="002C781E"/>
    <w:rsid w:val="002C7B77"/>
    <w:rsid w:val="002D007C"/>
    <w:rsid w:val="002D3312"/>
    <w:rsid w:val="002D347E"/>
    <w:rsid w:val="002D356F"/>
    <w:rsid w:val="002D3D24"/>
    <w:rsid w:val="002D4C2E"/>
    <w:rsid w:val="002D5478"/>
    <w:rsid w:val="002D5A7A"/>
    <w:rsid w:val="002E12F1"/>
    <w:rsid w:val="002E1688"/>
    <w:rsid w:val="002E16AA"/>
    <w:rsid w:val="002E45FF"/>
    <w:rsid w:val="002E4F69"/>
    <w:rsid w:val="002E7451"/>
    <w:rsid w:val="002E76EF"/>
    <w:rsid w:val="002F2819"/>
    <w:rsid w:val="002F39CF"/>
    <w:rsid w:val="002F6A74"/>
    <w:rsid w:val="002F729F"/>
    <w:rsid w:val="002F7CBD"/>
    <w:rsid w:val="00300D4F"/>
    <w:rsid w:val="003030EB"/>
    <w:rsid w:val="00303460"/>
    <w:rsid w:val="00305180"/>
    <w:rsid w:val="003058D8"/>
    <w:rsid w:val="00307BA9"/>
    <w:rsid w:val="003103D3"/>
    <w:rsid w:val="00313A41"/>
    <w:rsid w:val="00315354"/>
    <w:rsid w:val="0031559C"/>
    <w:rsid w:val="003166D1"/>
    <w:rsid w:val="00316A04"/>
    <w:rsid w:val="003176B6"/>
    <w:rsid w:val="00317CF6"/>
    <w:rsid w:val="00317E3B"/>
    <w:rsid w:val="003205C0"/>
    <w:rsid w:val="00320740"/>
    <w:rsid w:val="00320CF9"/>
    <w:rsid w:val="00320DFF"/>
    <w:rsid w:val="003219C0"/>
    <w:rsid w:val="00321FD5"/>
    <w:rsid w:val="003222B1"/>
    <w:rsid w:val="003222F9"/>
    <w:rsid w:val="003234F1"/>
    <w:rsid w:val="00324B74"/>
    <w:rsid w:val="00324D7B"/>
    <w:rsid w:val="00326288"/>
    <w:rsid w:val="00327E96"/>
    <w:rsid w:val="00330951"/>
    <w:rsid w:val="0033231C"/>
    <w:rsid w:val="00334738"/>
    <w:rsid w:val="003353A6"/>
    <w:rsid w:val="00335A53"/>
    <w:rsid w:val="00343EAD"/>
    <w:rsid w:val="003455B3"/>
    <w:rsid w:val="00345616"/>
    <w:rsid w:val="00346193"/>
    <w:rsid w:val="00346409"/>
    <w:rsid w:val="00350E43"/>
    <w:rsid w:val="00352659"/>
    <w:rsid w:val="00352693"/>
    <w:rsid w:val="00354102"/>
    <w:rsid w:val="00354474"/>
    <w:rsid w:val="00355D91"/>
    <w:rsid w:val="003569B9"/>
    <w:rsid w:val="00357213"/>
    <w:rsid w:val="00357A0C"/>
    <w:rsid w:val="00360388"/>
    <w:rsid w:val="00360586"/>
    <w:rsid w:val="0036088C"/>
    <w:rsid w:val="0036244B"/>
    <w:rsid w:val="003635AC"/>
    <w:rsid w:val="00363A1B"/>
    <w:rsid w:val="00363E4B"/>
    <w:rsid w:val="00366F90"/>
    <w:rsid w:val="00367787"/>
    <w:rsid w:val="00367B0E"/>
    <w:rsid w:val="00372505"/>
    <w:rsid w:val="00372917"/>
    <w:rsid w:val="00372A5D"/>
    <w:rsid w:val="00373891"/>
    <w:rsid w:val="003742FC"/>
    <w:rsid w:val="00374D5C"/>
    <w:rsid w:val="00375973"/>
    <w:rsid w:val="00375D07"/>
    <w:rsid w:val="0037647D"/>
    <w:rsid w:val="00376991"/>
    <w:rsid w:val="00377B3F"/>
    <w:rsid w:val="00377B63"/>
    <w:rsid w:val="00377D7C"/>
    <w:rsid w:val="003809B2"/>
    <w:rsid w:val="00381564"/>
    <w:rsid w:val="00381609"/>
    <w:rsid w:val="003825C2"/>
    <w:rsid w:val="00383757"/>
    <w:rsid w:val="0038386D"/>
    <w:rsid w:val="003839A0"/>
    <w:rsid w:val="00383C58"/>
    <w:rsid w:val="00384A91"/>
    <w:rsid w:val="0039134C"/>
    <w:rsid w:val="00391558"/>
    <w:rsid w:val="003951F8"/>
    <w:rsid w:val="003972BE"/>
    <w:rsid w:val="00397E5D"/>
    <w:rsid w:val="003A010A"/>
    <w:rsid w:val="003A13FF"/>
    <w:rsid w:val="003A2056"/>
    <w:rsid w:val="003A223C"/>
    <w:rsid w:val="003A380C"/>
    <w:rsid w:val="003A5AA5"/>
    <w:rsid w:val="003A617C"/>
    <w:rsid w:val="003A6D97"/>
    <w:rsid w:val="003A71EC"/>
    <w:rsid w:val="003B122F"/>
    <w:rsid w:val="003B1AF9"/>
    <w:rsid w:val="003B23EB"/>
    <w:rsid w:val="003B2D53"/>
    <w:rsid w:val="003B56B9"/>
    <w:rsid w:val="003B5CAA"/>
    <w:rsid w:val="003B7B2C"/>
    <w:rsid w:val="003C0370"/>
    <w:rsid w:val="003C0EA0"/>
    <w:rsid w:val="003C150F"/>
    <w:rsid w:val="003C15DF"/>
    <w:rsid w:val="003C1956"/>
    <w:rsid w:val="003C229E"/>
    <w:rsid w:val="003C4C0A"/>
    <w:rsid w:val="003C4D46"/>
    <w:rsid w:val="003C5966"/>
    <w:rsid w:val="003C5D42"/>
    <w:rsid w:val="003C650C"/>
    <w:rsid w:val="003D0116"/>
    <w:rsid w:val="003D105F"/>
    <w:rsid w:val="003D39EA"/>
    <w:rsid w:val="003D4B96"/>
    <w:rsid w:val="003D6788"/>
    <w:rsid w:val="003E0B75"/>
    <w:rsid w:val="003E1F4E"/>
    <w:rsid w:val="003E519C"/>
    <w:rsid w:val="003E5885"/>
    <w:rsid w:val="003E76DF"/>
    <w:rsid w:val="003F20B7"/>
    <w:rsid w:val="003F4031"/>
    <w:rsid w:val="003F4621"/>
    <w:rsid w:val="003F4647"/>
    <w:rsid w:val="003F5C33"/>
    <w:rsid w:val="003F772B"/>
    <w:rsid w:val="003F7C10"/>
    <w:rsid w:val="003F7C4A"/>
    <w:rsid w:val="00400F47"/>
    <w:rsid w:val="00404CA8"/>
    <w:rsid w:val="00406FE1"/>
    <w:rsid w:val="004070CF"/>
    <w:rsid w:val="00407C77"/>
    <w:rsid w:val="00410162"/>
    <w:rsid w:val="004102D4"/>
    <w:rsid w:val="00411BF9"/>
    <w:rsid w:val="0041365E"/>
    <w:rsid w:val="004138AC"/>
    <w:rsid w:val="0041398F"/>
    <w:rsid w:val="00413D13"/>
    <w:rsid w:val="004153FC"/>
    <w:rsid w:val="00416CF5"/>
    <w:rsid w:val="00417B53"/>
    <w:rsid w:val="00417F24"/>
    <w:rsid w:val="00421351"/>
    <w:rsid w:val="00422263"/>
    <w:rsid w:val="00422DFE"/>
    <w:rsid w:val="00422F70"/>
    <w:rsid w:val="00426813"/>
    <w:rsid w:val="00427C17"/>
    <w:rsid w:val="00430821"/>
    <w:rsid w:val="00430E22"/>
    <w:rsid w:val="00431923"/>
    <w:rsid w:val="00433B3C"/>
    <w:rsid w:val="00434B18"/>
    <w:rsid w:val="00434CC2"/>
    <w:rsid w:val="00435FC8"/>
    <w:rsid w:val="00436586"/>
    <w:rsid w:val="00436FDE"/>
    <w:rsid w:val="00437A1D"/>
    <w:rsid w:val="00437F58"/>
    <w:rsid w:val="00440A93"/>
    <w:rsid w:val="0044116E"/>
    <w:rsid w:val="00441AD3"/>
    <w:rsid w:val="00442226"/>
    <w:rsid w:val="00443535"/>
    <w:rsid w:val="004443BC"/>
    <w:rsid w:val="00444ADF"/>
    <w:rsid w:val="00444F49"/>
    <w:rsid w:val="00445636"/>
    <w:rsid w:val="00445D27"/>
    <w:rsid w:val="00447E95"/>
    <w:rsid w:val="00450296"/>
    <w:rsid w:val="00450563"/>
    <w:rsid w:val="0045183A"/>
    <w:rsid w:val="00451D19"/>
    <w:rsid w:val="00451FD7"/>
    <w:rsid w:val="00452625"/>
    <w:rsid w:val="004529BA"/>
    <w:rsid w:val="00452DA6"/>
    <w:rsid w:val="00452FC8"/>
    <w:rsid w:val="00453A3A"/>
    <w:rsid w:val="00454154"/>
    <w:rsid w:val="00455D22"/>
    <w:rsid w:val="00455E4A"/>
    <w:rsid w:val="00456CC2"/>
    <w:rsid w:val="00457B41"/>
    <w:rsid w:val="0046039E"/>
    <w:rsid w:val="00462CB8"/>
    <w:rsid w:val="00464B99"/>
    <w:rsid w:val="004658E0"/>
    <w:rsid w:val="00465B43"/>
    <w:rsid w:val="00466E8F"/>
    <w:rsid w:val="00467429"/>
    <w:rsid w:val="00467D5D"/>
    <w:rsid w:val="004709C4"/>
    <w:rsid w:val="00471159"/>
    <w:rsid w:val="004716EE"/>
    <w:rsid w:val="004721CF"/>
    <w:rsid w:val="00472635"/>
    <w:rsid w:val="0047521C"/>
    <w:rsid w:val="00475D6E"/>
    <w:rsid w:val="00480F9E"/>
    <w:rsid w:val="004814B5"/>
    <w:rsid w:val="00481DCE"/>
    <w:rsid w:val="00481EB0"/>
    <w:rsid w:val="00482B69"/>
    <w:rsid w:val="0048466B"/>
    <w:rsid w:val="00486A8A"/>
    <w:rsid w:val="00487DBB"/>
    <w:rsid w:val="00491217"/>
    <w:rsid w:val="00491BA7"/>
    <w:rsid w:val="004926BD"/>
    <w:rsid w:val="00495483"/>
    <w:rsid w:val="00495656"/>
    <w:rsid w:val="004965F1"/>
    <w:rsid w:val="00496DF6"/>
    <w:rsid w:val="004A0FB7"/>
    <w:rsid w:val="004A21A1"/>
    <w:rsid w:val="004A405E"/>
    <w:rsid w:val="004A4201"/>
    <w:rsid w:val="004A45D5"/>
    <w:rsid w:val="004A64E5"/>
    <w:rsid w:val="004A7009"/>
    <w:rsid w:val="004B002F"/>
    <w:rsid w:val="004B0444"/>
    <w:rsid w:val="004B0CC9"/>
    <w:rsid w:val="004B1F8B"/>
    <w:rsid w:val="004B2F1F"/>
    <w:rsid w:val="004B2F55"/>
    <w:rsid w:val="004B46D2"/>
    <w:rsid w:val="004B5AD7"/>
    <w:rsid w:val="004B6254"/>
    <w:rsid w:val="004B65F4"/>
    <w:rsid w:val="004B6C48"/>
    <w:rsid w:val="004B712D"/>
    <w:rsid w:val="004C15FD"/>
    <w:rsid w:val="004C3934"/>
    <w:rsid w:val="004C44D8"/>
    <w:rsid w:val="004C4BCC"/>
    <w:rsid w:val="004C5CAB"/>
    <w:rsid w:val="004C6846"/>
    <w:rsid w:val="004C76B9"/>
    <w:rsid w:val="004C7AFE"/>
    <w:rsid w:val="004C7B0A"/>
    <w:rsid w:val="004D0988"/>
    <w:rsid w:val="004D148F"/>
    <w:rsid w:val="004D17D8"/>
    <w:rsid w:val="004D1940"/>
    <w:rsid w:val="004D1FAD"/>
    <w:rsid w:val="004D57E5"/>
    <w:rsid w:val="004D5B80"/>
    <w:rsid w:val="004D625A"/>
    <w:rsid w:val="004E1A6B"/>
    <w:rsid w:val="004E30E3"/>
    <w:rsid w:val="004E356D"/>
    <w:rsid w:val="004E3C83"/>
    <w:rsid w:val="004E4A80"/>
    <w:rsid w:val="004F5974"/>
    <w:rsid w:val="004F73DC"/>
    <w:rsid w:val="004F7700"/>
    <w:rsid w:val="004F7743"/>
    <w:rsid w:val="004F78DD"/>
    <w:rsid w:val="004F7E4F"/>
    <w:rsid w:val="00501DCC"/>
    <w:rsid w:val="00502233"/>
    <w:rsid w:val="00502B66"/>
    <w:rsid w:val="0050314C"/>
    <w:rsid w:val="00505365"/>
    <w:rsid w:val="00505A21"/>
    <w:rsid w:val="00505E5D"/>
    <w:rsid w:val="00506974"/>
    <w:rsid w:val="00507CCC"/>
    <w:rsid w:val="00511AF3"/>
    <w:rsid w:val="00511F06"/>
    <w:rsid w:val="005123EE"/>
    <w:rsid w:val="00513E26"/>
    <w:rsid w:val="00516510"/>
    <w:rsid w:val="00521FDB"/>
    <w:rsid w:val="005220AA"/>
    <w:rsid w:val="00522391"/>
    <w:rsid w:val="00522FFA"/>
    <w:rsid w:val="0052374C"/>
    <w:rsid w:val="0052456D"/>
    <w:rsid w:val="00526A43"/>
    <w:rsid w:val="00530624"/>
    <w:rsid w:val="005309AE"/>
    <w:rsid w:val="00530A4A"/>
    <w:rsid w:val="005315C3"/>
    <w:rsid w:val="005317A4"/>
    <w:rsid w:val="005319C4"/>
    <w:rsid w:val="00531D94"/>
    <w:rsid w:val="00534300"/>
    <w:rsid w:val="005350E5"/>
    <w:rsid w:val="00535728"/>
    <w:rsid w:val="00536C4E"/>
    <w:rsid w:val="00536E30"/>
    <w:rsid w:val="0053764E"/>
    <w:rsid w:val="00537E00"/>
    <w:rsid w:val="00540931"/>
    <w:rsid w:val="00540B66"/>
    <w:rsid w:val="00542D2E"/>
    <w:rsid w:val="00544D32"/>
    <w:rsid w:val="005460D0"/>
    <w:rsid w:val="0054619D"/>
    <w:rsid w:val="005476D7"/>
    <w:rsid w:val="00547970"/>
    <w:rsid w:val="00551529"/>
    <w:rsid w:val="005519FF"/>
    <w:rsid w:val="00551DB9"/>
    <w:rsid w:val="005526BB"/>
    <w:rsid w:val="0055370E"/>
    <w:rsid w:val="005556EC"/>
    <w:rsid w:val="005563FB"/>
    <w:rsid w:val="0055650B"/>
    <w:rsid w:val="005566F7"/>
    <w:rsid w:val="00556863"/>
    <w:rsid w:val="00560C14"/>
    <w:rsid w:val="00560D34"/>
    <w:rsid w:val="00561AF9"/>
    <w:rsid w:val="00562B33"/>
    <w:rsid w:val="00563600"/>
    <w:rsid w:val="00563AF9"/>
    <w:rsid w:val="00565071"/>
    <w:rsid w:val="0056535E"/>
    <w:rsid w:val="00567833"/>
    <w:rsid w:val="0057137D"/>
    <w:rsid w:val="0057212B"/>
    <w:rsid w:val="0057368E"/>
    <w:rsid w:val="005736AF"/>
    <w:rsid w:val="005760E7"/>
    <w:rsid w:val="00577DB9"/>
    <w:rsid w:val="00577FAC"/>
    <w:rsid w:val="005813FD"/>
    <w:rsid w:val="00581E9D"/>
    <w:rsid w:val="00583A37"/>
    <w:rsid w:val="0058435B"/>
    <w:rsid w:val="00584CEE"/>
    <w:rsid w:val="005928A1"/>
    <w:rsid w:val="00594B66"/>
    <w:rsid w:val="00595CFA"/>
    <w:rsid w:val="00595F87"/>
    <w:rsid w:val="005966F2"/>
    <w:rsid w:val="005975F5"/>
    <w:rsid w:val="00597BEF"/>
    <w:rsid w:val="005A0CF7"/>
    <w:rsid w:val="005A2000"/>
    <w:rsid w:val="005A25FA"/>
    <w:rsid w:val="005A2B55"/>
    <w:rsid w:val="005A3CE8"/>
    <w:rsid w:val="005A647C"/>
    <w:rsid w:val="005B08FB"/>
    <w:rsid w:val="005B1752"/>
    <w:rsid w:val="005B243E"/>
    <w:rsid w:val="005B2E76"/>
    <w:rsid w:val="005B3165"/>
    <w:rsid w:val="005B3301"/>
    <w:rsid w:val="005B3CD3"/>
    <w:rsid w:val="005B4152"/>
    <w:rsid w:val="005B44C9"/>
    <w:rsid w:val="005B4607"/>
    <w:rsid w:val="005B5094"/>
    <w:rsid w:val="005B5B35"/>
    <w:rsid w:val="005B7169"/>
    <w:rsid w:val="005C1781"/>
    <w:rsid w:val="005C21ED"/>
    <w:rsid w:val="005C3580"/>
    <w:rsid w:val="005C3C43"/>
    <w:rsid w:val="005C3D07"/>
    <w:rsid w:val="005C4A5B"/>
    <w:rsid w:val="005C56A0"/>
    <w:rsid w:val="005C655C"/>
    <w:rsid w:val="005C7023"/>
    <w:rsid w:val="005C756F"/>
    <w:rsid w:val="005C797F"/>
    <w:rsid w:val="005D0F3B"/>
    <w:rsid w:val="005D13B8"/>
    <w:rsid w:val="005D2852"/>
    <w:rsid w:val="005D3081"/>
    <w:rsid w:val="005D31FD"/>
    <w:rsid w:val="005D681E"/>
    <w:rsid w:val="005D772E"/>
    <w:rsid w:val="005E059C"/>
    <w:rsid w:val="005E1A73"/>
    <w:rsid w:val="005E21A8"/>
    <w:rsid w:val="005E2E3C"/>
    <w:rsid w:val="005E3A2B"/>
    <w:rsid w:val="005E4950"/>
    <w:rsid w:val="005E700D"/>
    <w:rsid w:val="005F0B9E"/>
    <w:rsid w:val="005F123A"/>
    <w:rsid w:val="005F57E0"/>
    <w:rsid w:val="005F6002"/>
    <w:rsid w:val="00600276"/>
    <w:rsid w:val="0060227E"/>
    <w:rsid w:val="0060282C"/>
    <w:rsid w:val="00603874"/>
    <w:rsid w:val="0060557D"/>
    <w:rsid w:val="00605E02"/>
    <w:rsid w:val="0060796E"/>
    <w:rsid w:val="00611DDF"/>
    <w:rsid w:val="0061388A"/>
    <w:rsid w:val="00613B05"/>
    <w:rsid w:val="006145C4"/>
    <w:rsid w:val="00615D4D"/>
    <w:rsid w:val="006166D3"/>
    <w:rsid w:val="00617E08"/>
    <w:rsid w:val="00617E7F"/>
    <w:rsid w:val="00620B10"/>
    <w:rsid w:val="00620C53"/>
    <w:rsid w:val="00621B7E"/>
    <w:rsid w:val="0062252E"/>
    <w:rsid w:val="006238D2"/>
    <w:rsid w:val="00623BE5"/>
    <w:rsid w:val="0062403D"/>
    <w:rsid w:val="0062404F"/>
    <w:rsid w:val="006254C1"/>
    <w:rsid w:val="00626F4F"/>
    <w:rsid w:val="0063010F"/>
    <w:rsid w:val="00630ECD"/>
    <w:rsid w:val="00631277"/>
    <w:rsid w:val="00631426"/>
    <w:rsid w:val="0063173F"/>
    <w:rsid w:val="00632445"/>
    <w:rsid w:val="00632C70"/>
    <w:rsid w:val="006330FF"/>
    <w:rsid w:val="006340FA"/>
    <w:rsid w:val="00636747"/>
    <w:rsid w:val="006379EA"/>
    <w:rsid w:val="0064417F"/>
    <w:rsid w:val="006473E2"/>
    <w:rsid w:val="00647ADC"/>
    <w:rsid w:val="00647F01"/>
    <w:rsid w:val="006502ED"/>
    <w:rsid w:val="006512DD"/>
    <w:rsid w:val="006538AE"/>
    <w:rsid w:val="00653C58"/>
    <w:rsid w:val="00655200"/>
    <w:rsid w:val="006553EC"/>
    <w:rsid w:val="006578AE"/>
    <w:rsid w:val="00657EDA"/>
    <w:rsid w:val="00660183"/>
    <w:rsid w:val="00662173"/>
    <w:rsid w:val="00665F40"/>
    <w:rsid w:val="00666A5E"/>
    <w:rsid w:val="006675D7"/>
    <w:rsid w:val="00671310"/>
    <w:rsid w:val="00671BE5"/>
    <w:rsid w:val="006725C8"/>
    <w:rsid w:val="00673CFE"/>
    <w:rsid w:val="00676790"/>
    <w:rsid w:val="00676CC5"/>
    <w:rsid w:val="00681863"/>
    <w:rsid w:val="006825CD"/>
    <w:rsid w:val="00682606"/>
    <w:rsid w:val="00685B30"/>
    <w:rsid w:val="00686D82"/>
    <w:rsid w:val="0068702D"/>
    <w:rsid w:val="0068729C"/>
    <w:rsid w:val="0068730D"/>
    <w:rsid w:val="006877D3"/>
    <w:rsid w:val="00690147"/>
    <w:rsid w:val="006902B4"/>
    <w:rsid w:val="00691816"/>
    <w:rsid w:val="00693496"/>
    <w:rsid w:val="0069370C"/>
    <w:rsid w:val="00695063"/>
    <w:rsid w:val="0069592D"/>
    <w:rsid w:val="006A10A4"/>
    <w:rsid w:val="006A24E8"/>
    <w:rsid w:val="006A2822"/>
    <w:rsid w:val="006A2930"/>
    <w:rsid w:val="006A3308"/>
    <w:rsid w:val="006A396F"/>
    <w:rsid w:val="006A52E9"/>
    <w:rsid w:val="006A5EE7"/>
    <w:rsid w:val="006A63DE"/>
    <w:rsid w:val="006A6CD1"/>
    <w:rsid w:val="006A7699"/>
    <w:rsid w:val="006B1965"/>
    <w:rsid w:val="006B1AFD"/>
    <w:rsid w:val="006B2FCC"/>
    <w:rsid w:val="006B32A8"/>
    <w:rsid w:val="006B4B90"/>
    <w:rsid w:val="006B4EB1"/>
    <w:rsid w:val="006B556A"/>
    <w:rsid w:val="006B585B"/>
    <w:rsid w:val="006B68C8"/>
    <w:rsid w:val="006B7911"/>
    <w:rsid w:val="006B7DAE"/>
    <w:rsid w:val="006C1717"/>
    <w:rsid w:val="006C1EE4"/>
    <w:rsid w:val="006C2F36"/>
    <w:rsid w:val="006C3AA6"/>
    <w:rsid w:val="006C5F51"/>
    <w:rsid w:val="006D09C9"/>
    <w:rsid w:val="006D1432"/>
    <w:rsid w:val="006D1AB6"/>
    <w:rsid w:val="006D1BAB"/>
    <w:rsid w:val="006D3DF3"/>
    <w:rsid w:val="006D49DD"/>
    <w:rsid w:val="006D5B35"/>
    <w:rsid w:val="006D706C"/>
    <w:rsid w:val="006E04D3"/>
    <w:rsid w:val="006E0AA6"/>
    <w:rsid w:val="006E1D9F"/>
    <w:rsid w:val="006E21B0"/>
    <w:rsid w:val="006E300F"/>
    <w:rsid w:val="006E44F2"/>
    <w:rsid w:val="006E4BFF"/>
    <w:rsid w:val="006E515A"/>
    <w:rsid w:val="006E754F"/>
    <w:rsid w:val="006F263F"/>
    <w:rsid w:val="006F268B"/>
    <w:rsid w:val="006F2B81"/>
    <w:rsid w:val="006F3D24"/>
    <w:rsid w:val="006F437C"/>
    <w:rsid w:val="006F477E"/>
    <w:rsid w:val="006F512E"/>
    <w:rsid w:val="006F589E"/>
    <w:rsid w:val="006F6FC5"/>
    <w:rsid w:val="006F70A7"/>
    <w:rsid w:val="006F7F54"/>
    <w:rsid w:val="0070040E"/>
    <w:rsid w:val="0070192A"/>
    <w:rsid w:val="0070317D"/>
    <w:rsid w:val="00705ADA"/>
    <w:rsid w:val="007070C9"/>
    <w:rsid w:val="007102D9"/>
    <w:rsid w:val="00711BC3"/>
    <w:rsid w:val="00712592"/>
    <w:rsid w:val="00712E95"/>
    <w:rsid w:val="00712F65"/>
    <w:rsid w:val="007134D2"/>
    <w:rsid w:val="007136A7"/>
    <w:rsid w:val="00714C8E"/>
    <w:rsid w:val="00716913"/>
    <w:rsid w:val="00716C2D"/>
    <w:rsid w:val="007170B4"/>
    <w:rsid w:val="007207A8"/>
    <w:rsid w:val="00722751"/>
    <w:rsid w:val="00722C62"/>
    <w:rsid w:val="00723693"/>
    <w:rsid w:val="00723B03"/>
    <w:rsid w:val="00723ED6"/>
    <w:rsid w:val="00726B9B"/>
    <w:rsid w:val="00726D7F"/>
    <w:rsid w:val="007312CF"/>
    <w:rsid w:val="007317BF"/>
    <w:rsid w:val="007328D4"/>
    <w:rsid w:val="00733AD9"/>
    <w:rsid w:val="00733B4D"/>
    <w:rsid w:val="007346C8"/>
    <w:rsid w:val="00734B51"/>
    <w:rsid w:val="00737CC0"/>
    <w:rsid w:val="007401B0"/>
    <w:rsid w:val="00740E71"/>
    <w:rsid w:val="0074477E"/>
    <w:rsid w:val="00744990"/>
    <w:rsid w:val="007453B9"/>
    <w:rsid w:val="0074553E"/>
    <w:rsid w:val="00746C95"/>
    <w:rsid w:val="007504EF"/>
    <w:rsid w:val="00750DF0"/>
    <w:rsid w:val="007523C5"/>
    <w:rsid w:val="00752FA9"/>
    <w:rsid w:val="00754DEA"/>
    <w:rsid w:val="0075616A"/>
    <w:rsid w:val="00756C48"/>
    <w:rsid w:val="00756DA0"/>
    <w:rsid w:val="00757AD6"/>
    <w:rsid w:val="00757B7F"/>
    <w:rsid w:val="00760552"/>
    <w:rsid w:val="00760B05"/>
    <w:rsid w:val="0076108C"/>
    <w:rsid w:val="00761931"/>
    <w:rsid w:val="00762000"/>
    <w:rsid w:val="00762DFF"/>
    <w:rsid w:val="00764FE6"/>
    <w:rsid w:val="00770D66"/>
    <w:rsid w:val="00771E04"/>
    <w:rsid w:val="0077272F"/>
    <w:rsid w:val="00776DB4"/>
    <w:rsid w:val="00777D73"/>
    <w:rsid w:val="007843A9"/>
    <w:rsid w:val="00784963"/>
    <w:rsid w:val="0078707C"/>
    <w:rsid w:val="00787A43"/>
    <w:rsid w:val="00787EE0"/>
    <w:rsid w:val="00790095"/>
    <w:rsid w:val="00790A9B"/>
    <w:rsid w:val="00790AD9"/>
    <w:rsid w:val="0079180D"/>
    <w:rsid w:val="00791945"/>
    <w:rsid w:val="00792715"/>
    <w:rsid w:val="00793287"/>
    <w:rsid w:val="007939F6"/>
    <w:rsid w:val="007941C8"/>
    <w:rsid w:val="007947F1"/>
    <w:rsid w:val="00794B9E"/>
    <w:rsid w:val="007957FF"/>
    <w:rsid w:val="00795B28"/>
    <w:rsid w:val="007967BC"/>
    <w:rsid w:val="00796895"/>
    <w:rsid w:val="007A0026"/>
    <w:rsid w:val="007A052B"/>
    <w:rsid w:val="007A053E"/>
    <w:rsid w:val="007A2540"/>
    <w:rsid w:val="007A3FFA"/>
    <w:rsid w:val="007A4D35"/>
    <w:rsid w:val="007A4EDA"/>
    <w:rsid w:val="007A6D46"/>
    <w:rsid w:val="007A7F89"/>
    <w:rsid w:val="007B0AA6"/>
    <w:rsid w:val="007B2332"/>
    <w:rsid w:val="007B3088"/>
    <w:rsid w:val="007B3D04"/>
    <w:rsid w:val="007B6942"/>
    <w:rsid w:val="007C111A"/>
    <w:rsid w:val="007C13C0"/>
    <w:rsid w:val="007C18FA"/>
    <w:rsid w:val="007C1C65"/>
    <w:rsid w:val="007C23EB"/>
    <w:rsid w:val="007C38F2"/>
    <w:rsid w:val="007C3CD6"/>
    <w:rsid w:val="007C46BE"/>
    <w:rsid w:val="007C4E60"/>
    <w:rsid w:val="007C51D1"/>
    <w:rsid w:val="007D1B5F"/>
    <w:rsid w:val="007D20C7"/>
    <w:rsid w:val="007D270F"/>
    <w:rsid w:val="007D45F3"/>
    <w:rsid w:val="007D470B"/>
    <w:rsid w:val="007D4C2E"/>
    <w:rsid w:val="007D643E"/>
    <w:rsid w:val="007E0C00"/>
    <w:rsid w:val="007E1101"/>
    <w:rsid w:val="007E120E"/>
    <w:rsid w:val="007E33FD"/>
    <w:rsid w:val="007E34DF"/>
    <w:rsid w:val="007E7F59"/>
    <w:rsid w:val="007F1B44"/>
    <w:rsid w:val="007F2D23"/>
    <w:rsid w:val="007F30B6"/>
    <w:rsid w:val="007F3351"/>
    <w:rsid w:val="007F45A7"/>
    <w:rsid w:val="007F4DA3"/>
    <w:rsid w:val="007F4F33"/>
    <w:rsid w:val="007F5BB5"/>
    <w:rsid w:val="00800E79"/>
    <w:rsid w:val="008014A0"/>
    <w:rsid w:val="00801780"/>
    <w:rsid w:val="008028E4"/>
    <w:rsid w:val="00803936"/>
    <w:rsid w:val="0080406E"/>
    <w:rsid w:val="0080694F"/>
    <w:rsid w:val="0081007D"/>
    <w:rsid w:val="0081144A"/>
    <w:rsid w:val="00813678"/>
    <w:rsid w:val="00815FF8"/>
    <w:rsid w:val="0081616B"/>
    <w:rsid w:val="008168A2"/>
    <w:rsid w:val="00816E41"/>
    <w:rsid w:val="008200E3"/>
    <w:rsid w:val="008212F7"/>
    <w:rsid w:val="008214D2"/>
    <w:rsid w:val="00821719"/>
    <w:rsid w:val="00821CFF"/>
    <w:rsid w:val="008228D9"/>
    <w:rsid w:val="008229D1"/>
    <w:rsid w:val="00822B8A"/>
    <w:rsid w:val="00823BC9"/>
    <w:rsid w:val="00823D7C"/>
    <w:rsid w:val="00823F57"/>
    <w:rsid w:val="00824AA0"/>
    <w:rsid w:val="00825C60"/>
    <w:rsid w:val="0082643D"/>
    <w:rsid w:val="00826550"/>
    <w:rsid w:val="008276D4"/>
    <w:rsid w:val="00827DD6"/>
    <w:rsid w:val="00830938"/>
    <w:rsid w:val="00830C90"/>
    <w:rsid w:val="00830CA3"/>
    <w:rsid w:val="00831090"/>
    <w:rsid w:val="00831D2A"/>
    <w:rsid w:val="0083290E"/>
    <w:rsid w:val="008330D9"/>
    <w:rsid w:val="0083408A"/>
    <w:rsid w:val="008350B2"/>
    <w:rsid w:val="0083599D"/>
    <w:rsid w:val="00835E39"/>
    <w:rsid w:val="0083649D"/>
    <w:rsid w:val="00836AA5"/>
    <w:rsid w:val="00837CB1"/>
    <w:rsid w:val="00840781"/>
    <w:rsid w:val="00840CBF"/>
    <w:rsid w:val="00843CFD"/>
    <w:rsid w:val="00844D6A"/>
    <w:rsid w:val="00844DA9"/>
    <w:rsid w:val="00845634"/>
    <w:rsid w:val="00847BC4"/>
    <w:rsid w:val="008509B1"/>
    <w:rsid w:val="00851D8D"/>
    <w:rsid w:val="00852319"/>
    <w:rsid w:val="0085415A"/>
    <w:rsid w:val="008554E3"/>
    <w:rsid w:val="00855F2D"/>
    <w:rsid w:val="00856C7E"/>
    <w:rsid w:val="00856E97"/>
    <w:rsid w:val="00856F70"/>
    <w:rsid w:val="008573D2"/>
    <w:rsid w:val="008573F5"/>
    <w:rsid w:val="00860FBF"/>
    <w:rsid w:val="0086188D"/>
    <w:rsid w:val="008626CB"/>
    <w:rsid w:val="0086286C"/>
    <w:rsid w:val="00863078"/>
    <w:rsid w:val="00865999"/>
    <w:rsid w:val="008667B5"/>
    <w:rsid w:val="00867D04"/>
    <w:rsid w:val="00870660"/>
    <w:rsid w:val="0087193A"/>
    <w:rsid w:val="008724BA"/>
    <w:rsid w:val="00872EAC"/>
    <w:rsid w:val="008744B8"/>
    <w:rsid w:val="00875C3C"/>
    <w:rsid w:val="008805E7"/>
    <w:rsid w:val="00883375"/>
    <w:rsid w:val="008838F1"/>
    <w:rsid w:val="00883A1F"/>
    <w:rsid w:val="008842D6"/>
    <w:rsid w:val="00891362"/>
    <w:rsid w:val="00891E37"/>
    <w:rsid w:val="008924A7"/>
    <w:rsid w:val="008934BB"/>
    <w:rsid w:val="008936AD"/>
    <w:rsid w:val="00893CF7"/>
    <w:rsid w:val="0089493F"/>
    <w:rsid w:val="0089546A"/>
    <w:rsid w:val="0089568C"/>
    <w:rsid w:val="00896C6D"/>
    <w:rsid w:val="00897BF5"/>
    <w:rsid w:val="008A055E"/>
    <w:rsid w:val="008A072E"/>
    <w:rsid w:val="008A2975"/>
    <w:rsid w:val="008A2DF0"/>
    <w:rsid w:val="008A3B78"/>
    <w:rsid w:val="008A3F63"/>
    <w:rsid w:val="008A44DB"/>
    <w:rsid w:val="008A5584"/>
    <w:rsid w:val="008A6BEC"/>
    <w:rsid w:val="008A6EB6"/>
    <w:rsid w:val="008B0517"/>
    <w:rsid w:val="008B18E4"/>
    <w:rsid w:val="008B2A82"/>
    <w:rsid w:val="008B5DA1"/>
    <w:rsid w:val="008B6BA1"/>
    <w:rsid w:val="008B71DD"/>
    <w:rsid w:val="008C0F5D"/>
    <w:rsid w:val="008C2AD5"/>
    <w:rsid w:val="008C3B6F"/>
    <w:rsid w:val="008C3CAF"/>
    <w:rsid w:val="008C443F"/>
    <w:rsid w:val="008C4817"/>
    <w:rsid w:val="008C5BBA"/>
    <w:rsid w:val="008C5F0E"/>
    <w:rsid w:val="008C62F3"/>
    <w:rsid w:val="008C648C"/>
    <w:rsid w:val="008C64AD"/>
    <w:rsid w:val="008C73B6"/>
    <w:rsid w:val="008D0B3C"/>
    <w:rsid w:val="008D2091"/>
    <w:rsid w:val="008D29CF"/>
    <w:rsid w:val="008D3C64"/>
    <w:rsid w:val="008D3D68"/>
    <w:rsid w:val="008D59E0"/>
    <w:rsid w:val="008D5A52"/>
    <w:rsid w:val="008D7847"/>
    <w:rsid w:val="008D79D4"/>
    <w:rsid w:val="008E02E3"/>
    <w:rsid w:val="008E0897"/>
    <w:rsid w:val="008E0B3C"/>
    <w:rsid w:val="008E0C50"/>
    <w:rsid w:val="008E1542"/>
    <w:rsid w:val="008E2D31"/>
    <w:rsid w:val="008E34F1"/>
    <w:rsid w:val="008E4B9B"/>
    <w:rsid w:val="008E59E8"/>
    <w:rsid w:val="008E6732"/>
    <w:rsid w:val="008E6D70"/>
    <w:rsid w:val="008E6F77"/>
    <w:rsid w:val="008E730C"/>
    <w:rsid w:val="008F0096"/>
    <w:rsid w:val="008F02F3"/>
    <w:rsid w:val="008F2BA4"/>
    <w:rsid w:val="008F45A3"/>
    <w:rsid w:val="008F47D4"/>
    <w:rsid w:val="008F617E"/>
    <w:rsid w:val="008F6438"/>
    <w:rsid w:val="008F69AA"/>
    <w:rsid w:val="008F6E8F"/>
    <w:rsid w:val="008F7561"/>
    <w:rsid w:val="00902172"/>
    <w:rsid w:val="00902EAC"/>
    <w:rsid w:val="00903A36"/>
    <w:rsid w:val="00903BF1"/>
    <w:rsid w:val="00906928"/>
    <w:rsid w:val="00907899"/>
    <w:rsid w:val="009100D0"/>
    <w:rsid w:val="00910B0F"/>
    <w:rsid w:val="009110D7"/>
    <w:rsid w:val="009111C8"/>
    <w:rsid w:val="00911350"/>
    <w:rsid w:val="0091138E"/>
    <w:rsid w:val="009117B1"/>
    <w:rsid w:val="009126FE"/>
    <w:rsid w:val="009131B7"/>
    <w:rsid w:val="00913390"/>
    <w:rsid w:val="00913D8A"/>
    <w:rsid w:val="0091412B"/>
    <w:rsid w:val="00916115"/>
    <w:rsid w:val="00916BDE"/>
    <w:rsid w:val="00916BF4"/>
    <w:rsid w:val="00916C82"/>
    <w:rsid w:val="0091727A"/>
    <w:rsid w:val="0092034A"/>
    <w:rsid w:val="009205DF"/>
    <w:rsid w:val="00920AEF"/>
    <w:rsid w:val="009219DD"/>
    <w:rsid w:val="00922538"/>
    <w:rsid w:val="00922582"/>
    <w:rsid w:val="00922D15"/>
    <w:rsid w:val="00926B4D"/>
    <w:rsid w:val="00926BDE"/>
    <w:rsid w:val="00931152"/>
    <w:rsid w:val="00931551"/>
    <w:rsid w:val="00931F38"/>
    <w:rsid w:val="009327A2"/>
    <w:rsid w:val="0093413C"/>
    <w:rsid w:val="0093577B"/>
    <w:rsid w:val="0093627A"/>
    <w:rsid w:val="009371D9"/>
    <w:rsid w:val="00937AAD"/>
    <w:rsid w:val="0094214A"/>
    <w:rsid w:val="0094299A"/>
    <w:rsid w:val="009433BC"/>
    <w:rsid w:val="00944113"/>
    <w:rsid w:val="00944595"/>
    <w:rsid w:val="00944902"/>
    <w:rsid w:val="00944B40"/>
    <w:rsid w:val="009475D3"/>
    <w:rsid w:val="00953468"/>
    <w:rsid w:val="009540F7"/>
    <w:rsid w:val="00954A53"/>
    <w:rsid w:val="00957B24"/>
    <w:rsid w:val="009610C2"/>
    <w:rsid w:val="0096368E"/>
    <w:rsid w:val="00963927"/>
    <w:rsid w:val="009639D9"/>
    <w:rsid w:val="00965B14"/>
    <w:rsid w:val="00966278"/>
    <w:rsid w:val="009664AB"/>
    <w:rsid w:val="00967C20"/>
    <w:rsid w:val="00970172"/>
    <w:rsid w:val="0097034E"/>
    <w:rsid w:val="00971515"/>
    <w:rsid w:val="00971BC9"/>
    <w:rsid w:val="00971FDF"/>
    <w:rsid w:val="0097419A"/>
    <w:rsid w:val="00976225"/>
    <w:rsid w:val="00977C03"/>
    <w:rsid w:val="009811A3"/>
    <w:rsid w:val="0098124B"/>
    <w:rsid w:val="00983059"/>
    <w:rsid w:val="0098392C"/>
    <w:rsid w:val="00985601"/>
    <w:rsid w:val="0098571C"/>
    <w:rsid w:val="00990354"/>
    <w:rsid w:val="009903B7"/>
    <w:rsid w:val="00991EE8"/>
    <w:rsid w:val="00992300"/>
    <w:rsid w:val="00992D17"/>
    <w:rsid w:val="00993D84"/>
    <w:rsid w:val="00994B2A"/>
    <w:rsid w:val="009959A5"/>
    <w:rsid w:val="009A06C0"/>
    <w:rsid w:val="009A27E2"/>
    <w:rsid w:val="009A56BE"/>
    <w:rsid w:val="009A6A57"/>
    <w:rsid w:val="009A72D8"/>
    <w:rsid w:val="009B008B"/>
    <w:rsid w:val="009B09FF"/>
    <w:rsid w:val="009B2502"/>
    <w:rsid w:val="009B2962"/>
    <w:rsid w:val="009B3463"/>
    <w:rsid w:val="009B66F0"/>
    <w:rsid w:val="009B6AE3"/>
    <w:rsid w:val="009B6EA4"/>
    <w:rsid w:val="009B7D7D"/>
    <w:rsid w:val="009C004A"/>
    <w:rsid w:val="009C0D75"/>
    <w:rsid w:val="009C133D"/>
    <w:rsid w:val="009C1B9E"/>
    <w:rsid w:val="009C2077"/>
    <w:rsid w:val="009C3DAB"/>
    <w:rsid w:val="009C48AF"/>
    <w:rsid w:val="009C4A3A"/>
    <w:rsid w:val="009C722D"/>
    <w:rsid w:val="009C78F5"/>
    <w:rsid w:val="009D027D"/>
    <w:rsid w:val="009D0976"/>
    <w:rsid w:val="009D1A28"/>
    <w:rsid w:val="009D3CF5"/>
    <w:rsid w:val="009D3D17"/>
    <w:rsid w:val="009D3EB8"/>
    <w:rsid w:val="009D4BB3"/>
    <w:rsid w:val="009D67BA"/>
    <w:rsid w:val="009E22D5"/>
    <w:rsid w:val="009E2646"/>
    <w:rsid w:val="009E2A61"/>
    <w:rsid w:val="009E361F"/>
    <w:rsid w:val="009E54E9"/>
    <w:rsid w:val="009E5C00"/>
    <w:rsid w:val="009E6C22"/>
    <w:rsid w:val="009E7396"/>
    <w:rsid w:val="009E77EF"/>
    <w:rsid w:val="009F3CBF"/>
    <w:rsid w:val="009F48A0"/>
    <w:rsid w:val="009F5885"/>
    <w:rsid w:val="009F65A2"/>
    <w:rsid w:val="009F6F31"/>
    <w:rsid w:val="009F743B"/>
    <w:rsid w:val="009F7D5D"/>
    <w:rsid w:val="00A04620"/>
    <w:rsid w:val="00A048F4"/>
    <w:rsid w:val="00A05238"/>
    <w:rsid w:val="00A0653A"/>
    <w:rsid w:val="00A06CC4"/>
    <w:rsid w:val="00A06FC8"/>
    <w:rsid w:val="00A07FB2"/>
    <w:rsid w:val="00A11E7A"/>
    <w:rsid w:val="00A131FC"/>
    <w:rsid w:val="00A133D9"/>
    <w:rsid w:val="00A21417"/>
    <w:rsid w:val="00A22858"/>
    <w:rsid w:val="00A23179"/>
    <w:rsid w:val="00A26D5F"/>
    <w:rsid w:val="00A27FDE"/>
    <w:rsid w:val="00A302A4"/>
    <w:rsid w:val="00A30369"/>
    <w:rsid w:val="00A30E79"/>
    <w:rsid w:val="00A32766"/>
    <w:rsid w:val="00A32ED8"/>
    <w:rsid w:val="00A33B92"/>
    <w:rsid w:val="00A33F5F"/>
    <w:rsid w:val="00A3467D"/>
    <w:rsid w:val="00A3494E"/>
    <w:rsid w:val="00A35127"/>
    <w:rsid w:val="00A37586"/>
    <w:rsid w:val="00A37B88"/>
    <w:rsid w:val="00A40094"/>
    <w:rsid w:val="00A41015"/>
    <w:rsid w:val="00A4179F"/>
    <w:rsid w:val="00A41952"/>
    <w:rsid w:val="00A41C1E"/>
    <w:rsid w:val="00A42A46"/>
    <w:rsid w:val="00A42E96"/>
    <w:rsid w:val="00A44579"/>
    <w:rsid w:val="00A45C99"/>
    <w:rsid w:val="00A523DB"/>
    <w:rsid w:val="00A559B8"/>
    <w:rsid w:val="00A55CD6"/>
    <w:rsid w:val="00A57D0C"/>
    <w:rsid w:val="00A60CC3"/>
    <w:rsid w:val="00A62783"/>
    <w:rsid w:val="00A6373D"/>
    <w:rsid w:val="00A63FC1"/>
    <w:rsid w:val="00A705FA"/>
    <w:rsid w:val="00A70C46"/>
    <w:rsid w:val="00A711B2"/>
    <w:rsid w:val="00A71BE9"/>
    <w:rsid w:val="00A7343A"/>
    <w:rsid w:val="00A73C8F"/>
    <w:rsid w:val="00A75C02"/>
    <w:rsid w:val="00A75D1C"/>
    <w:rsid w:val="00A75F08"/>
    <w:rsid w:val="00A76697"/>
    <w:rsid w:val="00A7751C"/>
    <w:rsid w:val="00A80150"/>
    <w:rsid w:val="00A80401"/>
    <w:rsid w:val="00A8040F"/>
    <w:rsid w:val="00A809E1"/>
    <w:rsid w:val="00A81064"/>
    <w:rsid w:val="00A815F8"/>
    <w:rsid w:val="00A819FC"/>
    <w:rsid w:val="00A84199"/>
    <w:rsid w:val="00A872FA"/>
    <w:rsid w:val="00A87411"/>
    <w:rsid w:val="00A91748"/>
    <w:rsid w:val="00A91F33"/>
    <w:rsid w:val="00A93BD9"/>
    <w:rsid w:val="00A93D98"/>
    <w:rsid w:val="00A94DDC"/>
    <w:rsid w:val="00A9659B"/>
    <w:rsid w:val="00A96A08"/>
    <w:rsid w:val="00A96A69"/>
    <w:rsid w:val="00A96EAE"/>
    <w:rsid w:val="00AA0825"/>
    <w:rsid w:val="00AA15CE"/>
    <w:rsid w:val="00AA17A8"/>
    <w:rsid w:val="00AA21F9"/>
    <w:rsid w:val="00AA4738"/>
    <w:rsid w:val="00AA4AC4"/>
    <w:rsid w:val="00AA5450"/>
    <w:rsid w:val="00AA5E37"/>
    <w:rsid w:val="00AA6233"/>
    <w:rsid w:val="00AA73E8"/>
    <w:rsid w:val="00AB0A96"/>
    <w:rsid w:val="00AB1917"/>
    <w:rsid w:val="00AB2A5E"/>
    <w:rsid w:val="00AC0D46"/>
    <w:rsid w:val="00AC1792"/>
    <w:rsid w:val="00AC251F"/>
    <w:rsid w:val="00AC2D59"/>
    <w:rsid w:val="00AC3C5A"/>
    <w:rsid w:val="00AC5507"/>
    <w:rsid w:val="00AC69EA"/>
    <w:rsid w:val="00AC6C14"/>
    <w:rsid w:val="00AC6C17"/>
    <w:rsid w:val="00AD13DF"/>
    <w:rsid w:val="00AD1C54"/>
    <w:rsid w:val="00AD1E33"/>
    <w:rsid w:val="00AD20DA"/>
    <w:rsid w:val="00AD2E34"/>
    <w:rsid w:val="00AD2E92"/>
    <w:rsid w:val="00AD5A9E"/>
    <w:rsid w:val="00AD6B90"/>
    <w:rsid w:val="00AD74EB"/>
    <w:rsid w:val="00AD7C7E"/>
    <w:rsid w:val="00AE0EA0"/>
    <w:rsid w:val="00AE1592"/>
    <w:rsid w:val="00AE1AC7"/>
    <w:rsid w:val="00AE1AF6"/>
    <w:rsid w:val="00AE34F0"/>
    <w:rsid w:val="00AE3838"/>
    <w:rsid w:val="00AE38D0"/>
    <w:rsid w:val="00AE39FF"/>
    <w:rsid w:val="00AE4981"/>
    <w:rsid w:val="00AE5637"/>
    <w:rsid w:val="00AE5BB1"/>
    <w:rsid w:val="00AE69CE"/>
    <w:rsid w:val="00AE7D37"/>
    <w:rsid w:val="00AF10CE"/>
    <w:rsid w:val="00AF1434"/>
    <w:rsid w:val="00AF1836"/>
    <w:rsid w:val="00AF3C51"/>
    <w:rsid w:val="00AF3F99"/>
    <w:rsid w:val="00AF44CC"/>
    <w:rsid w:val="00AF5D67"/>
    <w:rsid w:val="00B01C08"/>
    <w:rsid w:val="00B02EFE"/>
    <w:rsid w:val="00B036BD"/>
    <w:rsid w:val="00B03D12"/>
    <w:rsid w:val="00B04212"/>
    <w:rsid w:val="00B05FCC"/>
    <w:rsid w:val="00B106BC"/>
    <w:rsid w:val="00B10C42"/>
    <w:rsid w:val="00B10F94"/>
    <w:rsid w:val="00B1498E"/>
    <w:rsid w:val="00B1532E"/>
    <w:rsid w:val="00B15334"/>
    <w:rsid w:val="00B15C48"/>
    <w:rsid w:val="00B1684F"/>
    <w:rsid w:val="00B16D15"/>
    <w:rsid w:val="00B179DD"/>
    <w:rsid w:val="00B20815"/>
    <w:rsid w:val="00B20AA7"/>
    <w:rsid w:val="00B20DB6"/>
    <w:rsid w:val="00B20EA2"/>
    <w:rsid w:val="00B21F42"/>
    <w:rsid w:val="00B23D37"/>
    <w:rsid w:val="00B2666B"/>
    <w:rsid w:val="00B27D09"/>
    <w:rsid w:val="00B30958"/>
    <w:rsid w:val="00B30BEE"/>
    <w:rsid w:val="00B318C5"/>
    <w:rsid w:val="00B31DB5"/>
    <w:rsid w:val="00B328F3"/>
    <w:rsid w:val="00B32922"/>
    <w:rsid w:val="00B34340"/>
    <w:rsid w:val="00B34573"/>
    <w:rsid w:val="00B34C36"/>
    <w:rsid w:val="00B4065B"/>
    <w:rsid w:val="00B41C56"/>
    <w:rsid w:val="00B42596"/>
    <w:rsid w:val="00B43AB5"/>
    <w:rsid w:val="00B4422A"/>
    <w:rsid w:val="00B44591"/>
    <w:rsid w:val="00B46C5C"/>
    <w:rsid w:val="00B47457"/>
    <w:rsid w:val="00B50071"/>
    <w:rsid w:val="00B51FF6"/>
    <w:rsid w:val="00B5202C"/>
    <w:rsid w:val="00B52241"/>
    <w:rsid w:val="00B52C10"/>
    <w:rsid w:val="00B52D60"/>
    <w:rsid w:val="00B535B9"/>
    <w:rsid w:val="00B557C3"/>
    <w:rsid w:val="00B56749"/>
    <w:rsid w:val="00B567A4"/>
    <w:rsid w:val="00B56CB7"/>
    <w:rsid w:val="00B57312"/>
    <w:rsid w:val="00B575DB"/>
    <w:rsid w:val="00B578F0"/>
    <w:rsid w:val="00B579D0"/>
    <w:rsid w:val="00B60D70"/>
    <w:rsid w:val="00B61023"/>
    <w:rsid w:val="00B61468"/>
    <w:rsid w:val="00B617D2"/>
    <w:rsid w:val="00B61F6C"/>
    <w:rsid w:val="00B63265"/>
    <w:rsid w:val="00B6530F"/>
    <w:rsid w:val="00B65529"/>
    <w:rsid w:val="00B678E7"/>
    <w:rsid w:val="00B679F1"/>
    <w:rsid w:val="00B70309"/>
    <w:rsid w:val="00B7060A"/>
    <w:rsid w:val="00B70646"/>
    <w:rsid w:val="00B71384"/>
    <w:rsid w:val="00B730EF"/>
    <w:rsid w:val="00B75739"/>
    <w:rsid w:val="00B76BF0"/>
    <w:rsid w:val="00B77D0F"/>
    <w:rsid w:val="00B77D9C"/>
    <w:rsid w:val="00B81201"/>
    <w:rsid w:val="00B815A2"/>
    <w:rsid w:val="00B8188F"/>
    <w:rsid w:val="00B81B8B"/>
    <w:rsid w:val="00B820EC"/>
    <w:rsid w:val="00B84778"/>
    <w:rsid w:val="00B84EB9"/>
    <w:rsid w:val="00B84FCC"/>
    <w:rsid w:val="00B86583"/>
    <w:rsid w:val="00B86BE5"/>
    <w:rsid w:val="00B9073C"/>
    <w:rsid w:val="00B91CA2"/>
    <w:rsid w:val="00B92045"/>
    <w:rsid w:val="00B94101"/>
    <w:rsid w:val="00B94A48"/>
    <w:rsid w:val="00B95030"/>
    <w:rsid w:val="00B9786E"/>
    <w:rsid w:val="00B97F0A"/>
    <w:rsid w:val="00BA09DE"/>
    <w:rsid w:val="00BA1D7F"/>
    <w:rsid w:val="00BA2BD9"/>
    <w:rsid w:val="00BA3898"/>
    <w:rsid w:val="00BA4B21"/>
    <w:rsid w:val="00BA5E11"/>
    <w:rsid w:val="00BA6836"/>
    <w:rsid w:val="00BA6CF1"/>
    <w:rsid w:val="00BB031F"/>
    <w:rsid w:val="00BB07C0"/>
    <w:rsid w:val="00BB2A5B"/>
    <w:rsid w:val="00BB56D8"/>
    <w:rsid w:val="00BB6A47"/>
    <w:rsid w:val="00BC269D"/>
    <w:rsid w:val="00BC7081"/>
    <w:rsid w:val="00BC7E8D"/>
    <w:rsid w:val="00BD0B9D"/>
    <w:rsid w:val="00BD0E0D"/>
    <w:rsid w:val="00BD1414"/>
    <w:rsid w:val="00BD268F"/>
    <w:rsid w:val="00BD32F7"/>
    <w:rsid w:val="00BD3567"/>
    <w:rsid w:val="00BD3DED"/>
    <w:rsid w:val="00BD497E"/>
    <w:rsid w:val="00BD5DDD"/>
    <w:rsid w:val="00BD6ACB"/>
    <w:rsid w:val="00BD791B"/>
    <w:rsid w:val="00BE14F9"/>
    <w:rsid w:val="00BE4D46"/>
    <w:rsid w:val="00BE5A2E"/>
    <w:rsid w:val="00BE5AB5"/>
    <w:rsid w:val="00BE72BF"/>
    <w:rsid w:val="00BE7D7E"/>
    <w:rsid w:val="00BF04D2"/>
    <w:rsid w:val="00BF0668"/>
    <w:rsid w:val="00BF0AB0"/>
    <w:rsid w:val="00BF223C"/>
    <w:rsid w:val="00BF293A"/>
    <w:rsid w:val="00BF47B8"/>
    <w:rsid w:val="00BF5D27"/>
    <w:rsid w:val="00BF7614"/>
    <w:rsid w:val="00BF7A1E"/>
    <w:rsid w:val="00C0021D"/>
    <w:rsid w:val="00C005EB"/>
    <w:rsid w:val="00C01E59"/>
    <w:rsid w:val="00C01F60"/>
    <w:rsid w:val="00C06D17"/>
    <w:rsid w:val="00C07D74"/>
    <w:rsid w:val="00C12201"/>
    <w:rsid w:val="00C12FBE"/>
    <w:rsid w:val="00C14787"/>
    <w:rsid w:val="00C14989"/>
    <w:rsid w:val="00C177A0"/>
    <w:rsid w:val="00C20346"/>
    <w:rsid w:val="00C20B01"/>
    <w:rsid w:val="00C2206E"/>
    <w:rsid w:val="00C22270"/>
    <w:rsid w:val="00C22588"/>
    <w:rsid w:val="00C2604E"/>
    <w:rsid w:val="00C271ED"/>
    <w:rsid w:val="00C30BC6"/>
    <w:rsid w:val="00C311E2"/>
    <w:rsid w:val="00C312A7"/>
    <w:rsid w:val="00C31882"/>
    <w:rsid w:val="00C33BD6"/>
    <w:rsid w:val="00C355EB"/>
    <w:rsid w:val="00C35B28"/>
    <w:rsid w:val="00C37AD3"/>
    <w:rsid w:val="00C37BD4"/>
    <w:rsid w:val="00C43D16"/>
    <w:rsid w:val="00C44563"/>
    <w:rsid w:val="00C45BEC"/>
    <w:rsid w:val="00C47248"/>
    <w:rsid w:val="00C476F1"/>
    <w:rsid w:val="00C507F2"/>
    <w:rsid w:val="00C50878"/>
    <w:rsid w:val="00C50E4C"/>
    <w:rsid w:val="00C50F47"/>
    <w:rsid w:val="00C5138A"/>
    <w:rsid w:val="00C53B0B"/>
    <w:rsid w:val="00C557C6"/>
    <w:rsid w:val="00C55804"/>
    <w:rsid w:val="00C55BF4"/>
    <w:rsid w:val="00C5657F"/>
    <w:rsid w:val="00C565AC"/>
    <w:rsid w:val="00C56655"/>
    <w:rsid w:val="00C6103F"/>
    <w:rsid w:val="00C611E2"/>
    <w:rsid w:val="00C616C0"/>
    <w:rsid w:val="00C619EE"/>
    <w:rsid w:val="00C61BF4"/>
    <w:rsid w:val="00C643E2"/>
    <w:rsid w:val="00C662E1"/>
    <w:rsid w:val="00C66A0D"/>
    <w:rsid w:val="00C66AD8"/>
    <w:rsid w:val="00C67348"/>
    <w:rsid w:val="00C677E5"/>
    <w:rsid w:val="00C67DB5"/>
    <w:rsid w:val="00C707A5"/>
    <w:rsid w:val="00C70D96"/>
    <w:rsid w:val="00C71BB5"/>
    <w:rsid w:val="00C71D7F"/>
    <w:rsid w:val="00C7252E"/>
    <w:rsid w:val="00C72FCF"/>
    <w:rsid w:val="00C735E3"/>
    <w:rsid w:val="00C738A5"/>
    <w:rsid w:val="00C739A5"/>
    <w:rsid w:val="00C74F42"/>
    <w:rsid w:val="00C75166"/>
    <w:rsid w:val="00C75227"/>
    <w:rsid w:val="00C76E45"/>
    <w:rsid w:val="00C7703A"/>
    <w:rsid w:val="00C771F4"/>
    <w:rsid w:val="00C8046C"/>
    <w:rsid w:val="00C812E5"/>
    <w:rsid w:val="00C82D3B"/>
    <w:rsid w:val="00C82E2F"/>
    <w:rsid w:val="00C86FE2"/>
    <w:rsid w:val="00C87FD6"/>
    <w:rsid w:val="00C90312"/>
    <w:rsid w:val="00C90725"/>
    <w:rsid w:val="00C914D9"/>
    <w:rsid w:val="00C92710"/>
    <w:rsid w:val="00C9286D"/>
    <w:rsid w:val="00C92C16"/>
    <w:rsid w:val="00C9379A"/>
    <w:rsid w:val="00C94DFA"/>
    <w:rsid w:val="00C95529"/>
    <w:rsid w:val="00C96023"/>
    <w:rsid w:val="00C966EA"/>
    <w:rsid w:val="00C97562"/>
    <w:rsid w:val="00CA0905"/>
    <w:rsid w:val="00CA0ED0"/>
    <w:rsid w:val="00CA383F"/>
    <w:rsid w:val="00CA4156"/>
    <w:rsid w:val="00CA42B4"/>
    <w:rsid w:val="00CA4ED5"/>
    <w:rsid w:val="00CA6344"/>
    <w:rsid w:val="00CA65D6"/>
    <w:rsid w:val="00CA6C06"/>
    <w:rsid w:val="00CA72EF"/>
    <w:rsid w:val="00CB15C3"/>
    <w:rsid w:val="00CB19EA"/>
    <w:rsid w:val="00CB2604"/>
    <w:rsid w:val="00CB3A4B"/>
    <w:rsid w:val="00CB70E1"/>
    <w:rsid w:val="00CB750E"/>
    <w:rsid w:val="00CB7B49"/>
    <w:rsid w:val="00CB7EB2"/>
    <w:rsid w:val="00CC15B7"/>
    <w:rsid w:val="00CC23C9"/>
    <w:rsid w:val="00CC26FD"/>
    <w:rsid w:val="00CC691B"/>
    <w:rsid w:val="00CC6F8A"/>
    <w:rsid w:val="00CC7113"/>
    <w:rsid w:val="00CD06CB"/>
    <w:rsid w:val="00CD0C46"/>
    <w:rsid w:val="00CD11D6"/>
    <w:rsid w:val="00CD20E1"/>
    <w:rsid w:val="00CD25D9"/>
    <w:rsid w:val="00CD2F72"/>
    <w:rsid w:val="00CD5005"/>
    <w:rsid w:val="00CD51A6"/>
    <w:rsid w:val="00CD5A3E"/>
    <w:rsid w:val="00CD6AB5"/>
    <w:rsid w:val="00CD6D8C"/>
    <w:rsid w:val="00CD751E"/>
    <w:rsid w:val="00CD7D2A"/>
    <w:rsid w:val="00CE0DD0"/>
    <w:rsid w:val="00CE1F51"/>
    <w:rsid w:val="00CE27C9"/>
    <w:rsid w:val="00CE315A"/>
    <w:rsid w:val="00CE32A6"/>
    <w:rsid w:val="00CE3B93"/>
    <w:rsid w:val="00CE4B4D"/>
    <w:rsid w:val="00CF06C5"/>
    <w:rsid w:val="00CF0D09"/>
    <w:rsid w:val="00CF173E"/>
    <w:rsid w:val="00CF1FEC"/>
    <w:rsid w:val="00CF22FF"/>
    <w:rsid w:val="00CF27D0"/>
    <w:rsid w:val="00CF3130"/>
    <w:rsid w:val="00CF46EA"/>
    <w:rsid w:val="00CF5E1A"/>
    <w:rsid w:val="00CF612D"/>
    <w:rsid w:val="00CF637A"/>
    <w:rsid w:val="00CF72ED"/>
    <w:rsid w:val="00CF78E9"/>
    <w:rsid w:val="00D03C07"/>
    <w:rsid w:val="00D04D7D"/>
    <w:rsid w:val="00D04E17"/>
    <w:rsid w:val="00D1118B"/>
    <w:rsid w:val="00D1163C"/>
    <w:rsid w:val="00D11EF2"/>
    <w:rsid w:val="00D131AF"/>
    <w:rsid w:val="00D17B50"/>
    <w:rsid w:val="00D209E8"/>
    <w:rsid w:val="00D20D87"/>
    <w:rsid w:val="00D20EB1"/>
    <w:rsid w:val="00D21B5E"/>
    <w:rsid w:val="00D2247D"/>
    <w:rsid w:val="00D23590"/>
    <w:rsid w:val="00D24374"/>
    <w:rsid w:val="00D2497C"/>
    <w:rsid w:val="00D24D8A"/>
    <w:rsid w:val="00D26BE1"/>
    <w:rsid w:val="00D2795E"/>
    <w:rsid w:val="00D27BBC"/>
    <w:rsid w:val="00D300AD"/>
    <w:rsid w:val="00D300C5"/>
    <w:rsid w:val="00D32106"/>
    <w:rsid w:val="00D32185"/>
    <w:rsid w:val="00D32A74"/>
    <w:rsid w:val="00D33667"/>
    <w:rsid w:val="00D35D49"/>
    <w:rsid w:val="00D402DB"/>
    <w:rsid w:val="00D41004"/>
    <w:rsid w:val="00D426C9"/>
    <w:rsid w:val="00D43582"/>
    <w:rsid w:val="00D44663"/>
    <w:rsid w:val="00D4618A"/>
    <w:rsid w:val="00D46660"/>
    <w:rsid w:val="00D50680"/>
    <w:rsid w:val="00D507BA"/>
    <w:rsid w:val="00D527DB"/>
    <w:rsid w:val="00D52A09"/>
    <w:rsid w:val="00D54E6D"/>
    <w:rsid w:val="00D558E1"/>
    <w:rsid w:val="00D56721"/>
    <w:rsid w:val="00D5797D"/>
    <w:rsid w:val="00D607E4"/>
    <w:rsid w:val="00D61A71"/>
    <w:rsid w:val="00D642F5"/>
    <w:rsid w:val="00D6568D"/>
    <w:rsid w:val="00D66C79"/>
    <w:rsid w:val="00D67A6D"/>
    <w:rsid w:val="00D7044A"/>
    <w:rsid w:val="00D70922"/>
    <w:rsid w:val="00D713D4"/>
    <w:rsid w:val="00D73396"/>
    <w:rsid w:val="00D73BC1"/>
    <w:rsid w:val="00D76006"/>
    <w:rsid w:val="00D76133"/>
    <w:rsid w:val="00D7721C"/>
    <w:rsid w:val="00D77A95"/>
    <w:rsid w:val="00D77AA9"/>
    <w:rsid w:val="00D80085"/>
    <w:rsid w:val="00D807AC"/>
    <w:rsid w:val="00D80B3C"/>
    <w:rsid w:val="00D80DCB"/>
    <w:rsid w:val="00D81B6A"/>
    <w:rsid w:val="00D82033"/>
    <w:rsid w:val="00D82B1E"/>
    <w:rsid w:val="00D85C29"/>
    <w:rsid w:val="00D90726"/>
    <w:rsid w:val="00D9229C"/>
    <w:rsid w:val="00D92580"/>
    <w:rsid w:val="00D92D55"/>
    <w:rsid w:val="00D9336D"/>
    <w:rsid w:val="00D93911"/>
    <w:rsid w:val="00D94E47"/>
    <w:rsid w:val="00D95028"/>
    <w:rsid w:val="00D95362"/>
    <w:rsid w:val="00D953F1"/>
    <w:rsid w:val="00D95870"/>
    <w:rsid w:val="00D9639D"/>
    <w:rsid w:val="00D974A3"/>
    <w:rsid w:val="00D97854"/>
    <w:rsid w:val="00DA1168"/>
    <w:rsid w:val="00DA2A8C"/>
    <w:rsid w:val="00DA2FAA"/>
    <w:rsid w:val="00DA41AC"/>
    <w:rsid w:val="00DA48E5"/>
    <w:rsid w:val="00DA56D8"/>
    <w:rsid w:val="00DA5B93"/>
    <w:rsid w:val="00DA7BE5"/>
    <w:rsid w:val="00DB0047"/>
    <w:rsid w:val="00DB02E6"/>
    <w:rsid w:val="00DB118C"/>
    <w:rsid w:val="00DB1EBD"/>
    <w:rsid w:val="00DB249F"/>
    <w:rsid w:val="00DB26F2"/>
    <w:rsid w:val="00DB2BA7"/>
    <w:rsid w:val="00DB3BF0"/>
    <w:rsid w:val="00DB3C50"/>
    <w:rsid w:val="00DB5D72"/>
    <w:rsid w:val="00DC1E9F"/>
    <w:rsid w:val="00DC428C"/>
    <w:rsid w:val="00DC4AB6"/>
    <w:rsid w:val="00DC4E75"/>
    <w:rsid w:val="00DC65B5"/>
    <w:rsid w:val="00DC776C"/>
    <w:rsid w:val="00DD0442"/>
    <w:rsid w:val="00DD170A"/>
    <w:rsid w:val="00DD1CF3"/>
    <w:rsid w:val="00DD2418"/>
    <w:rsid w:val="00DD5424"/>
    <w:rsid w:val="00DD6336"/>
    <w:rsid w:val="00DD653E"/>
    <w:rsid w:val="00DD77AD"/>
    <w:rsid w:val="00DE0EB3"/>
    <w:rsid w:val="00DE189C"/>
    <w:rsid w:val="00DE2056"/>
    <w:rsid w:val="00DE37F7"/>
    <w:rsid w:val="00DE406A"/>
    <w:rsid w:val="00DE414E"/>
    <w:rsid w:val="00DE5C24"/>
    <w:rsid w:val="00DE5FF8"/>
    <w:rsid w:val="00DF0CF0"/>
    <w:rsid w:val="00DF3179"/>
    <w:rsid w:val="00DF41C2"/>
    <w:rsid w:val="00DF64E0"/>
    <w:rsid w:val="00DF6A2B"/>
    <w:rsid w:val="00DF6E47"/>
    <w:rsid w:val="00DF7116"/>
    <w:rsid w:val="00DF7BA8"/>
    <w:rsid w:val="00E03C69"/>
    <w:rsid w:val="00E05422"/>
    <w:rsid w:val="00E065D3"/>
    <w:rsid w:val="00E06A8D"/>
    <w:rsid w:val="00E11AB2"/>
    <w:rsid w:val="00E12E4C"/>
    <w:rsid w:val="00E1397C"/>
    <w:rsid w:val="00E1428E"/>
    <w:rsid w:val="00E16B0B"/>
    <w:rsid w:val="00E16B5E"/>
    <w:rsid w:val="00E17FDA"/>
    <w:rsid w:val="00E2001A"/>
    <w:rsid w:val="00E20386"/>
    <w:rsid w:val="00E20C31"/>
    <w:rsid w:val="00E231D6"/>
    <w:rsid w:val="00E24A08"/>
    <w:rsid w:val="00E25B7B"/>
    <w:rsid w:val="00E27235"/>
    <w:rsid w:val="00E30060"/>
    <w:rsid w:val="00E3042D"/>
    <w:rsid w:val="00E3119C"/>
    <w:rsid w:val="00E31406"/>
    <w:rsid w:val="00E31E5C"/>
    <w:rsid w:val="00E329FE"/>
    <w:rsid w:val="00E33F21"/>
    <w:rsid w:val="00E34979"/>
    <w:rsid w:val="00E34A7E"/>
    <w:rsid w:val="00E35D93"/>
    <w:rsid w:val="00E3627D"/>
    <w:rsid w:val="00E36991"/>
    <w:rsid w:val="00E36FC0"/>
    <w:rsid w:val="00E379B2"/>
    <w:rsid w:val="00E4057F"/>
    <w:rsid w:val="00E42361"/>
    <w:rsid w:val="00E42395"/>
    <w:rsid w:val="00E42420"/>
    <w:rsid w:val="00E42F6F"/>
    <w:rsid w:val="00E43102"/>
    <w:rsid w:val="00E4355E"/>
    <w:rsid w:val="00E44CF1"/>
    <w:rsid w:val="00E461EB"/>
    <w:rsid w:val="00E47572"/>
    <w:rsid w:val="00E5070A"/>
    <w:rsid w:val="00E521CC"/>
    <w:rsid w:val="00E52F2A"/>
    <w:rsid w:val="00E534FB"/>
    <w:rsid w:val="00E53FE1"/>
    <w:rsid w:val="00E54EC5"/>
    <w:rsid w:val="00E552F4"/>
    <w:rsid w:val="00E577D9"/>
    <w:rsid w:val="00E57921"/>
    <w:rsid w:val="00E60194"/>
    <w:rsid w:val="00E625D4"/>
    <w:rsid w:val="00E62B6D"/>
    <w:rsid w:val="00E637B3"/>
    <w:rsid w:val="00E63A87"/>
    <w:rsid w:val="00E63C92"/>
    <w:rsid w:val="00E6416D"/>
    <w:rsid w:val="00E665A5"/>
    <w:rsid w:val="00E66CF8"/>
    <w:rsid w:val="00E70AB7"/>
    <w:rsid w:val="00E7187F"/>
    <w:rsid w:val="00E719FF"/>
    <w:rsid w:val="00E72A6C"/>
    <w:rsid w:val="00E73A91"/>
    <w:rsid w:val="00E777B2"/>
    <w:rsid w:val="00E77A45"/>
    <w:rsid w:val="00E77E7E"/>
    <w:rsid w:val="00E80010"/>
    <w:rsid w:val="00E8224D"/>
    <w:rsid w:val="00E83174"/>
    <w:rsid w:val="00E83C0B"/>
    <w:rsid w:val="00E83E1F"/>
    <w:rsid w:val="00E85CA0"/>
    <w:rsid w:val="00E86D6D"/>
    <w:rsid w:val="00E8748B"/>
    <w:rsid w:val="00E87876"/>
    <w:rsid w:val="00E87979"/>
    <w:rsid w:val="00E87D99"/>
    <w:rsid w:val="00E904F8"/>
    <w:rsid w:val="00E92CB3"/>
    <w:rsid w:val="00E93C98"/>
    <w:rsid w:val="00E941B6"/>
    <w:rsid w:val="00E94BA6"/>
    <w:rsid w:val="00E978FA"/>
    <w:rsid w:val="00EA018A"/>
    <w:rsid w:val="00EA0354"/>
    <w:rsid w:val="00EA144A"/>
    <w:rsid w:val="00EA2BCB"/>
    <w:rsid w:val="00EA2E91"/>
    <w:rsid w:val="00EA381F"/>
    <w:rsid w:val="00EA6ADC"/>
    <w:rsid w:val="00EB1913"/>
    <w:rsid w:val="00EB3073"/>
    <w:rsid w:val="00EB4759"/>
    <w:rsid w:val="00EB4E4E"/>
    <w:rsid w:val="00EB663A"/>
    <w:rsid w:val="00EC07D8"/>
    <w:rsid w:val="00EC1A0F"/>
    <w:rsid w:val="00EC3D41"/>
    <w:rsid w:val="00EC4357"/>
    <w:rsid w:val="00EC6961"/>
    <w:rsid w:val="00EC6EF7"/>
    <w:rsid w:val="00ED0BEC"/>
    <w:rsid w:val="00ED2B6A"/>
    <w:rsid w:val="00ED31ED"/>
    <w:rsid w:val="00ED36AD"/>
    <w:rsid w:val="00ED402B"/>
    <w:rsid w:val="00ED408F"/>
    <w:rsid w:val="00ED6309"/>
    <w:rsid w:val="00EE0065"/>
    <w:rsid w:val="00EE0281"/>
    <w:rsid w:val="00EE47B3"/>
    <w:rsid w:val="00EE60D2"/>
    <w:rsid w:val="00EE6A09"/>
    <w:rsid w:val="00EE6B58"/>
    <w:rsid w:val="00EE7140"/>
    <w:rsid w:val="00EE7C49"/>
    <w:rsid w:val="00EF0C26"/>
    <w:rsid w:val="00EF1D33"/>
    <w:rsid w:val="00EF3063"/>
    <w:rsid w:val="00EF3863"/>
    <w:rsid w:val="00EF46BD"/>
    <w:rsid w:val="00EF49A9"/>
    <w:rsid w:val="00EF4FEA"/>
    <w:rsid w:val="00EF52E6"/>
    <w:rsid w:val="00F01981"/>
    <w:rsid w:val="00F01E1C"/>
    <w:rsid w:val="00F03F2F"/>
    <w:rsid w:val="00F047C0"/>
    <w:rsid w:val="00F05A49"/>
    <w:rsid w:val="00F05A4C"/>
    <w:rsid w:val="00F06DC1"/>
    <w:rsid w:val="00F06DE7"/>
    <w:rsid w:val="00F10B1F"/>
    <w:rsid w:val="00F11606"/>
    <w:rsid w:val="00F123FB"/>
    <w:rsid w:val="00F13C66"/>
    <w:rsid w:val="00F13E05"/>
    <w:rsid w:val="00F13E84"/>
    <w:rsid w:val="00F14AA6"/>
    <w:rsid w:val="00F1586F"/>
    <w:rsid w:val="00F15A3F"/>
    <w:rsid w:val="00F20B22"/>
    <w:rsid w:val="00F20E8B"/>
    <w:rsid w:val="00F212C2"/>
    <w:rsid w:val="00F21467"/>
    <w:rsid w:val="00F22C4E"/>
    <w:rsid w:val="00F231AE"/>
    <w:rsid w:val="00F231D1"/>
    <w:rsid w:val="00F23603"/>
    <w:rsid w:val="00F25F3C"/>
    <w:rsid w:val="00F31ADB"/>
    <w:rsid w:val="00F3305A"/>
    <w:rsid w:val="00F334A0"/>
    <w:rsid w:val="00F33607"/>
    <w:rsid w:val="00F33BB3"/>
    <w:rsid w:val="00F345EB"/>
    <w:rsid w:val="00F352B0"/>
    <w:rsid w:val="00F35EBD"/>
    <w:rsid w:val="00F36AFC"/>
    <w:rsid w:val="00F36B20"/>
    <w:rsid w:val="00F41D10"/>
    <w:rsid w:val="00F427A4"/>
    <w:rsid w:val="00F45376"/>
    <w:rsid w:val="00F45951"/>
    <w:rsid w:val="00F46609"/>
    <w:rsid w:val="00F468AD"/>
    <w:rsid w:val="00F46AFD"/>
    <w:rsid w:val="00F50EFF"/>
    <w:rsid w:val="00F513B9"/>
    <w:rsid w:val="00F5187F"/>
    <w:rsid w:val="00F51C9A"/>
    <w:rsid w:val="00F53EF8"/>
    <w:rsid w:val="00F5459F"/>
    <w:rsid w:val="00F55B2B"/>
    <w:rsid w:val="00F600A0"/>
    <w:rsid w:val="00F60B90"/>
    <w:rsid w:val="00F614DB"/>
    <w:rsid w:val="00F63D24"/>
    <w:rsid w:val="00F66FA5"/>
    <w:rsid w:val="00F672E7"/>
    <w:rsid w:val="00F67516"/>
    <w:rsid w:val="00F70FC3"/>
    <w:rsid w:val="00F73395"/>
    <w:rsid w:val="00F73580"/>
    <w:rsid w:val="00F7371F"/>
    <w:rsid w:val="00F767CF"/>
    <w:rsid w:val="00F82A8F"/>
    <w:rsid w:val="00F8371B"/>
    <w:rsid w:val="00F83B8D"/>
    <w:rsid w:val="00F83EA8"/>
    <w:rsid w:val="00F84995"/>
    <w:rsid w:val="00F8570C"/>
    <w:rsid w:val="00F85E21"/>
    <w:rsid w:val="00F85EDB"/>
    <w:rsid w:val="00F879D9"/>
    <w:rsid w:val="00F87CAE"/>
    <w:rsid w:val="00F906D7"/>
    <w:rsid w:val="00F92306"/>
    <w:rsid w:val="00F92C32"/>
    <w:rsid w:val="00F94845"/>
    <w:rsid w:val="00F94915"/>
    <w:rsid w:val="00F94A16"/>
    <w:rsid w:val="00F95A92"/>
    <w:rsid w:val="00F95DBC"/>
    <w:rsid w:val="00F96CED"/>
    <w:rsid w:val="00F97CF4"/>
    <w:rsid w:val="00F97D60"/>
    <w:rsid w:val="00FA0C51"/>
    <w:rsid w:val="00FA24FC"/>
    <w:rsid w:val="00FA4B56"/>
    <w:rsid w:val="00FA5F16"/>
    <w:rsid w:val="00FA6CD3"/>
    <w:rsid w:val="00FB00E2"/>
    <w:rsid w:val="00FB15FC"/>
    <w:rsid w:val="00FB1A1D"/>
    <w:rsid w:val="00FB1F1F"/>
    <w:rsid w:val="00FB2620"/>
    <w:rsid w:val="00FB2798"/>
    <w:rsid w:val="00FB324E"/>
    <w:rsid w:val="00FB55B1"/>
    <w:rsid w:val="00FB605D"/>
    <w:rsid w:val="00FB68B3"/>
    <w:rsid w:val="00FB7579"/>
    <w:rsid w:val="00FB7C61"/>
    <w:rsid w:val="00FC354C"/>
    <w:rsid w:val="00FC35D6"/>
    <w:rsid w:val="00FC39FA"/>
    <w:rsid w:val="00FC6D71"/>
    <w:rsid w:val="00FC6F69"/>
    <w:rsid w:val="00FD08E2"/>
    <w:rsid w:val="00FD1EED"/>
    <w:rsid w:val="00FD2FF2"/>
    <w:rsid w:val="00FD367D"/>
    <w:rsid w:val="00FD3EC6"/>
    <w:rsid w:val="00FE077D"/>
    <w:rsid w:val="00FE1D74"/>
    <w:rsid w:val="00FE22B8"/>
    <w:rsid w:val="00FE3EB5"/>
    <w:rsid w:val="00FE4FD7"/>
    <w:rsid w:val="00FE5059"/>
    <w:rsid w:val="00FE6200"/>
    <w:rsid w:val="00FE7905"/>
    <w:rsid w:val="00FF2FB5"/>
    <w:rsid w:val="00FF3807"/>
    <w:rsid w:val="00FF391F"/>
    <w:rsid w:val="00FF436E"/>
    <w:rsid w:val="00FF569B"/>
    <w:rsid w:val="00FF5906"/>
    <w:rsid w:val="00FF6088"/>
    <w:rsid w:val="01606EE3"/>
    <w:rsid w:val="022407BE"/>
    <w:rsid w:val="024C0602"/>
    <w:rsid w:val="031429AA"/>
    <w:rsid w:val="03163234"/>
    <w:rsid w:val="03C16D4A"/>
    <w:rsid w:val="043966E4"/>
    <w:rsid w:val="043E20D7"/>
    <w:rsid w:val="048567E7"/>
    <w:rsid w:val="04EF44E5"/>
    <w:rsid w:val="059353B8"/>
    <w:rsid w:val="063E34ED"/>
    <w:rsid w:val="065D1927"/>
    <w:rsid w:val="0A9A7A78"/>
    <w:rsid w:val="0B3A494C"/>
    <w:rsid w:val="0B9445EF"/>
    <w:rsid w:val="0D72743C"/>
    <w:rsid w:val="0DC4426A"/>
    <w:rsid w:val="0E246323"/>
    <w:rsid w:val="0ED0054C"/>
    <w:rsid w:val="0F0338BD"/>
    <w:rsid w:val="0F635E53"/>
    <w:rsid w:val="0F862BC9"/>
    <w:rsid w:val="10F322C5"/>
    <w:rsid w:val="117A5EB7"/>
    <w:rsid w:val="11D94E56"/>
    <w:rsid w:val="12F370A9"/>
    <w:rsid w:val="13270514"/>
    <w:rsid w:val="148306BA"/>
    <w:rsid w:val="1586433D"/>
    <w:rsid w:val="165568F0"/>
    <w:rsid w:val="16A967C0"/>
    <w:rsid w:val="16E17F40"/>
    <w:rsid w:val="17116420"/>
    <w:rsid w:val="176F6B0D"/>
    <w:rsid w:val="17E02620"/>
    <w:rsid w:val="1A053611"/>
    <w:rsid w:val="1B5F298B"/>
    <w:rsid w:val="1C277FCE"/>
    <w:rsid w:val="1D3F1931"/>
    <w:rsid w:val="1F1C5F1C"/>
    <w:rsid w:val="207C4208"/>
    <w:rsid w:val="209A3CDE"/>
    <w:rsid w:val="20B640B1"/>
    <w:rsid w:val="215E1D81"/>
    <w:rsid w:val="21851FEC"/>
    <w:rsid w:val="21FE4738"/>
    <w:rsid w:val="226A2F4A"/>
    <w:rsid w:val="23365A4A"/>
    <w:rsid w:val="23AF0390"/>
    <w:rsid w:val="24B51AD4"/>
    <w:rsid w:val="24DC401A"/>
    <w:rsid w:val="25435C5C"/>
    <w:rsid w:val="25EB5DBA"/>
    <w:rsid w:val="266C5D28"/>
    <w:rsid w:val="27395669"/>
    <w:rsid w:val="287C7510"/>
    <w:rsid w:val="28E10988"/>
    <w:rsid w:val="292750FE"/>
    <w:rsid w:val="295356F8"/>
    <w:rsid w:val="299C5F4A"/>
    <w:rsid w:val="29DC2898"/>
    <w:rsid w:val="2B511BF0"/>
    <w:rsid w:val="2B681C16"/>
    <w:rsid w:val="2B707434"/>
    <w:rsid w:val="2CA67E5C"/>
    <w:rsid w:val="2D48480E"/>
    <w:rsid w:val="2D554F32"/>
    <w:rsid w:val="2DB41B88"/>
    <w:rsid w:val="2DC816D9"/>
    <w:rsid w:val="2E026F21"/>
    <w:rsid w:val="2E8B2174"/>
    <w:rsid w:val="2E9C2986"/>
    <w:rsid w:val="2EA52293"/>
    <w:rsid w:val="2F014596"/>
    <w:rsid w:val="2F620FF1"/>
    <w:rsid w:val="301B44D5"/>
    <w:rsid w:val="301E780A"/>
    <w:rsid w:val="303B234D"/>
    <w:rsid w:val="306E5F49"/>
    <w:rsid w:val="31095F4C"/>
    <w:rsid w:val="31C17AB6"/>
    <w:rsid w:val="32441CC2"/>
    <w:rsid w:val="327D4A24"/>
    <w:rsid w:val="328E2022"/>
    <w:rsid w:val="33337274"/>
    <w:rsid w:val="339C6590"/>
    <w:rsid w:val="33C013C9"/>
    <w:rsid w:val="33C12851"/>
    <w:rsid w:val="344B696C"/>
    <w:rsid w:val="3504317E"/>
    <w:rsid w:val="352E299D"/>
    <w:rsid w:val="3578457B"/>
    <w:rsid w:val="35812EEF"/>
    <w:rsid w:val="35D15B60"/>
    <w:rsid w:val="3609575D"/>
    <w:rsid w:val="36D933F7"/>
    <w:rsid w:val="37BA6DC9"/>
    <w:rsid w:val="38140581"/>
    <w:rsid w:val="390C3205"/>
    <w:rsid w:val="39450400"/>
    <w:rsid w:val="39DB6AF4"/>
    <w:rsid w:val="39E527A7"/>
    <w:rsid w:val="3A6D1983"/>
    <w:rsid w:val="3AA91A44"/>
    <w:rsid w:val="3AC5600A"/>
    <w:rsid w:val="3B3730EA"/>
    <w:rsid w:val="3B6F4564"/>
    <w:rsid w:val="3C1E66AC"/>
    <w:rsid w:val="3D3C16EC"/>
    <w:rsid w:val="3DD86EC1"/>
    <w:rsid w:val="3FC8588E"/>
    <w:rsid w:val="413D0FA5"/>
    <w:rsid w:val="41CA5B54"/>
    <w:rsid w:val="421622C2"/>
    <w:rsid w:val="421B76C0"/>
    <w:rsid w:val="42B649D7"/>
    <w:rsid w:val="434F5F00"/>
    <w:rsid w:val="43E26E21"/>
    <w:rsid w:val="44012A50"/>
    <w:rsid w:val="445434D5"/>
    <w:rsid w:val="44CA463D"/>
    <w:rsid w:val="46164C27"/>
    <w:rsid w:val="46257CC2"/>
    <w:rsid w:val="4630745C"/>
    <w:rsid w:val="463317DC"/>
    <w:rsid w:val="46486E09"/>
    <w:rsid w:val="469D6D4F"/>
    <w:rsid w:val="472D3306"/>
    <w:rsid w:val="47507ADF"/>
    <w:rsid w:val="47A66587"/>
    <w:rsid w:val="481D2068"/>
    <w:rsid w:val="48266B94"/>
    <w:rsid w:val="48612E9B"/>
    <w:rsid w:val="48DB5795"/>
    <w:rsid w:val="49366CE3"/>
    <w:rsid w:val="4B5651C7"/>
    <w:rsid w:val="4B6E69ED"/>
    <w:rsid w:val="4B845122"/>
    <w:rsid w:val="4C10158C"/>
    <w:rsid w:val="4CD96AAB"/>
    <w:rsid w:val="4D476743"/>
    <w:rsid w:val="4D650445"/>
    <w:rsid w:val="4E191B92"/>
    <w:rsid w:val="4EED08DE"/>
    <w:rsid w:val="4FE9017C"/>
    <w:rsid w:val="5142283C"/>
    <w:rsid w:val="52040137"/>
    <w:rsid w:val="52181420"/>
    <w:rsid w:val="5252054D"/>
    <w:rsid w:val="529E13D7"/>
    <w:rsid w:val="53057497"/>
    <w:rsid w:val="532B12AE"/>
    <w:rsid w:val="536C566A"/>
    <w:rsid w:val="540E18DC"/>
    <w:rsid w:val="55193C33"/>
    <w:rsid w:val="557960B8"/>
    <w:rsid w:val="55CF1FE2"/>
    <w:rsid w:val="5630720D"/>
    <w:rsid w:val="56427120"/>
    <w:rsid w:val="56AE3EE1"/>
    <w:rsid w:val="56B9387E"/>
    <w:rsid w:val="57AB6821"/>
    <w:rsid w:val="584B01C3"/>
    <w:rsid w:val="58737F30"/>
    <w:rsid w:val="5A752B0C"/>
    <w:rsid w:val="5AC5149F"/>
    <w:rsid w:val="5C1B16A7"/>
    <w:rsid w:val="5D5A3A51"/>
    <w:rsid w:val="5D6A1EE1"/>
    <w:rsid w:val="5DDA5E5F"/>
    <w:rsid w:val="5E230C91"/>
    <w:rsid w:val="5EEB451D"/>
    <w:rsid w:val="60E33208"/>
    <w:rsid w:val="613B4DDF"/>
    <w:rsid w:val="61464B63"/>
    <w:rsid w:val="634C4304"/>
    <w:rsid w:val="63967C8B"/>
    <w:rsid w:val="639F5376"/>
    <w:rsid w:val="63B2292D"/>
    <w:rsid w:val="6425214D"/>
    <w:rsid w:val="64272860"/>
    <w:rsid w:val="64767A89"/>
    <w:rsid w:val="654004EA"/>
    <w:rsid w:val="65CB3832"/>
    <w:rsid w:val="66BE28EB"/>
    <w:rsid w:val="66E7762E"/>
    <w:rsid w:val="670F3BF9"/>
    <w:rsid w:val="671001B7"/>
    <w:rsid w:val="67127DDF"/>
    <w:rsid w:val="67EC056C"/>
    <w:rsid w:val="68EB2AFA"/>
    <w:rsid w:val="69946236"/>
    <w:rsid w:val="69C7309A"/>
    <w:rsid w:val="6A1F35C5"/>
    <w:rsid w:val="6A490E98"/>
    <w:rsid w:val="6A4D4327"/>
    <w:rsid w:val="6AEE2787"/>
    <w:rsid w:val="6B67745D"/>
    <w:rsid w:val="6C00111C"/>
    <w:rsid w:val="6CD444C9"/>
    <w:rsid w:val="6D1379DE"/>
    <w:rsid w:val="6D8D3140"/>
    <w:rsid w:val="6DAE04DD"/>
    <w:rsid w:val="6E7845A0"/>
    <w:rsid w:val="6EDB666A"/>
    <w:rsid w:val="6EF0718B"/>
    <w:rsid w:val="6F0B2439"/>
    <w:rsid w:val="6FC526B4"/>
    <w:rsid w:val="728C318A"/>
    <w:rsid w:val="72A37F3C"/>
    <w:rsid w:val="72E67A1E"/>
    <w:rsid w:val="735144C8"/>
    <w:rsid w:val="74D07A37"/>
    <w:rsid w:val="756C25F6"/>
    <w:rsid w:val="76EF5C9E"/>
    <w:rsid w:val="789145DF"/>
    <w:rsid w:val="79B31825"/>
    <w:rsid w:val="7A040050"/>
    <w:rsid w:val="7BD62F93"/>
    <w:rsid w:val="7BE141DD"/>
    <w:rsid w:val="7C034F7D"/>
    <w:rsid w:val="7C2925C7"/>
    <w:rsid w:val="7EA85FDA"/>
    <w:rsid w:val="7FBD5C9E"/>
    <w:rsid w:val="DFD13F46"/>
    <w:rsid w:val="F6FF1BFB"/>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nhideWhenUsed="0" w:uiPriority="99" w:semiHidden="0" w:name="heading 3"/>
    <w:lsdException w:qFormat="1" w:uiPriority="9" w:name="heading 4" w:locked="1"/>
    <w:lsdException w:qFormat="1" w:uiPriority="9" w:name="heading 5" w:locked="1"/>
    <w:lsdException w:qFormat="1" w:uiPriority="9" w:name="heading 6" w:locked="1"/>
    <w:lsdException w:qFormat="1" w:uiPriority="9" w:name="heading 7" w:locked="1"/>
    <w:lsdException w:qFormat="1" w:uiPriority="9" w:name="heading 8" w:locked="1"/>
    <w:lsdException w:qFormat="1" w:uiPriority="9" w:name="heading 9" w:locked="1"/>
    <w:lsdException w:uiPriority="99" w:name="index 1" w:locked="1"/>
    <w:lsdException w:uiPriority="99" w:name="index 2" w:locked="1"/>
    <w:lsdException w:uiPriority="99" w:name="index 3" w:locked="1"/>
    <w:lsdException w:uiPriority="99" w:name="index 4" w:locked="1"/>
    <w:lsdException w:uiPriority="99" w:name="index 5" w:locked="1"/>
    <w:lsdException w:uiPriority="99" w:name="index 6" w:locked="1"/>
    <w:lsdException w:uiPriority="99" w:name="index 7" w:locked="1"/>
    <w:lsdException w:uiPriority="99" w:name="index 8" w:locked="1"/>
    <w:lsdException w:uiPriority="99" w:name="index 9" w:locked="1"/>
    <w:lsdException w:qFormat="1" w:unhideWhenUsed="0" w:uiPriority="99" w:semiHidden="0" w:name="toc 1"/>
    <w:lsdException w:qFormat="1" w:unhideWhenUsed="0" w:uiPriority="99" w:semiHidden="0" w:name="toc 2"/>
    <w:lsdException w:qFormat="1" w:unhideWhenUsed="0" w:uiPriority="99" w:semiHidden="0" w:name="toc 3"/>
    <w:lsdException w:uiPriority="39" w:name="toc 4" w:locked="1"/>
    <w:lsdException w:uiPriority="39" w:name="toc 5" w:locked="1"/>
    <w:lsdException w:uiPriority="39" w:name="toc 6" w:locked="1"/>
    <w:lsdException w:uiPriority="39" w:name="toc 7" w:locked="1"/>
    <w:lsdException w:uiPriority="39" w:name="toc 8" w:locked="1"/>
    <w:lsdException w:uiPriority="39" w:name="toc 9" w:locked="1"/>
    <w:lsdException w:uiPriority="99" w:name="Normal Indent" w:locked="1"/>
    <w:lsdException w:uiPriority="99" w:name="footnote text" w:locked="1"/>
    <w:lsdException w:qFormat="1" w:unhideWhenUsed="0" w:uiPriority="99" w:semiHidden="0" w:name="annotation text"/>
    <w:lsdException w:qFormat="1" w:unhideWhenUsed="0" w:uiPriority="99" w:semiHidden="0" w:name="header"/>
    <w:lsdException w:qFormat="1" w:unhideWhenUsed="0" w:uiPriority="99" w:semiHidden="0" w:name="footer"/>
    <w:lsdException w:uiPriority="99" w:name="index heading" w:locked="1"/>
    <w:lsdException w:qFormat="1" w:uiPriority="35" w:name="caption" w:locked="1"/>
    <w:lsdException w:uiPriority="99" w:name="table of figures" w:locked="1"/>
    <w:lsdException w:uiPriority="99" w:name="envelope address" w:locked="1"/>
    <w:lsdException w:uiPriority="99" w:name="envelope return" w:locked="1"/>
    <w:lsdException w:uiPriority="99" w:name="footnote reference" w:locked="1"/>
    <w:lsdException w:qFormat="1" w:unhideWhenUsed="0" w:uiPriority="99" w:semiHidden="0" w:name="annotation reference"/>
    <w:lsdException w:uiPriority="99" w:name="line number" w:locked="1"/>
    <w:lsdException w:unhideWhenUsed="0" w:uiPriority="0" w:semiHidden="0" w:name="page number" w:locked="1"/>
    <w:lsdException w:uiPriority="99" w:name="endnote reference" w:locked="1"/>
    <w:lsdException w:uiPriority="99" w:name="endnote text" w:locked="1"/>
    <w:lsdException w:uiPriority="99" w:name="table of authorities" w:locked="1"/>
    <w:lsdException w:uiPriority="99" w:name="macro" w:locked="1"/>
    <w:lsdException w:uiPriority="99" w:name="toa heading" w:locked="1"/>
    <w:lsdException w:uiPriority="99" w:name="List" w:locked="1"/>
    <w:lsdException w:uiPriority="99" w:name="List Bullet" w:locked="1"/>
    <w:lsdException w:uiPriority="99" w:name="List Number" w:locked="1"/>
    <w:lsdException w:uiPriority="99" w:name="List 2" w:locked="1"/>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99" w:semiHidden="0" w:name="Title"/>
    <w:lsdException w:uiPriority="99" w:name="Closing" w:locked="1"/>
    <w:lsdException w:uiPriority="99" w:name="Signature" w:locked="1"/>
    <w:lsdException w:qFormat="1" w:unhideWhenUsed="0" w:uiPriority="99" w:name="Default Paragraph Font"/>
    <w:lsdException w:uiPriority="99" w:name="Body Text" w:locked="1"/>
    <w:lsdException w:qFormat="1" w:unhideWhenUsed="0" w:uiPriority="0" w:semiHidden="0" w:name="Body Text Indent" w:locked="1"/>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11" w:semiHidden="0" w:name="Subtitle" w:locked="1"/>
    <w:lsdException w:uiPriority="99" w:name="Salutation" w:locked="1"/>
    <w:lsdException w:uiPriority="99" w:name="Date" w:locked="1"/>
    <w:lsdException w:uiPriority="99" w:name="Body Text First Indent" w:locked="1"/>
    <w:lsdException w:qFormat="1" w:unhideWhenUsed="0" w:uiPriority="0" w:semiHidden="0" w:name="Body Text First Indent 2" w:locked="1"/>
    <w:lsdException w:uiPriority="99" w:name="Note Heading" w:locked="1"/>
    <w:lsdException w:qFormat="1" w:unhideWhenUsed="0" w:uiPriority="99" w:semiHidden="0" w:name="Body Text 2"/>
    <w:lsdException w:uiPriority="99" w:name="Body Text 3" w:locked="1"/>
    <w:lsdException w:uiPriority="99" w:name="Body Text Indent 2" w:locked="1"/>
    <w:lsdException w:uiPriority="99" w:name="Body Text Indent 3" w:locked="1"/>
    <w:lsdException w:uiPriority="99" w:name="Block Text" w:locked="1"/>
    <w:lsdException w:qFormat="1" w:unhideWhenUsed="0" w:uiPriority="99" w:semiHidden="0" w:name="Hyperlink"/>
    <w:lsdException w:qFormat="1" w:unhideWhenUsed="0" w:uiPriority="99" w:semiHidden="0" w:name="FollowedHyperlink"/>
    <w:lsdException w:qFormat="1" w:unhideWhenUsed="0" w:uiPriority="22" w:semiHidden="0" w:name="Strong" w:locked="1"/>
    <w:lsdException w:qFormat="1" w:unhideWhenUsed="0" w:uiPriority="99" w:semiHidden="0" w:name="Emphasis"/>
    <w:lsdException w:qFormat="1" w:unhideWhenUsed="0" w:uiPriority="99" w:name="Document Map"/>
    <w:lsdException w:uiPriority="99" w:name="Plain Text" w:locked="1"/>
    <w:lsdException w:uiPriority="99" w:name="E-mail Signature" w:locked="1"/>
    <w:lsdException w:qFormat="1" w:unhideWhenUsed="0" w:uiPriority="99" w:semiHidden="0" w:name="Normal (Web)"/>
    <w:lsdException w:uiPriority="99" w:name="HTML Acronym" w:locked="1"/>
    <w:lsdException w:uiPriority="99" w:name="HTML Address" w:locked="1"/>
    <w:lsdException w:uiPriority="99" w:name="HTML Cite" w:locked="1"/>
    <w:lsdException w:uiPriority="99" w:name="HTML Code" w:locked="1"/>
    <w:lsdException w:uiPriority="99" w:name="HTML Definition" w:locked="1"/>
    <w:lsdException w:uiPriority="99" w:name="HTML Keyboard" w:locked="1"/>
    <w:lsdException w:uiPriority="99" w:name="HTML Preformatted" w:locked="1"/>
    <w:lsdException w:uiPriority="99" w:name="HTML Sample" w:locked="1"/>
    <w:lsdException w:uiPriority="99" w:name="HTML Typewriter" w:locked="1"/>
    <w:lsdException w:uiPriority="99" w:name="HTML Variable" w:locked="1"/>
    <w:lsdException w:qFormat="1" w:uiPriority="99" w:name="Normal Table"/>
    <w:lsdException w:qFormat="1" w:unhideWhenUsed="0" w:uiPriority="99" w:semiHidden="0" w:name="annotation subject"/>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qFormat="1" w:unhideWhenUsed="0" w:uiPriority="99" w:semiHidden="0" w:name="Balloon Text"/>
    <w:lsdException w:qFormat="1" w:unhideWhenUsed="0" w:uiPriority="99" w:semiHidden="0" w:name="Table Grid"/>
    <w:lsdException w:uiPriority="99"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ind w:firstLine="200" w:firstLineChars="200"/>
      <w:jc w:val="both"/>
    </w:pPr>
    <w:rPr>
      <w:rFonts w:ascii="Calibri" w:hAnsi="Calibri" w:eastAsia="宋体" w:cs="Times New Roman"/>
      <w:kern w:val="2"/>
      <w:sz w:val="28"/>
      <w:szCs w:val="24"/>
      <w:lang w:val="en-US" w:eastAsia="zh-CN" w:bidi="ar-SA"/>
    </w:rPr>
  </w:style>
  <w:style w:type="paragraph" w:styleId="4">
    <w:name w:val="heading 1"/>
    <w:basedOn w:val="1"/>
    <w:next w:val="1"/>
    <w:link w:val="28"/>
    <w:qFormat/>
    <w:uiPriority w:val="99"/>
    <w:pPr>
      <w:keepNext/>
      <w:keepLines/>
      <w:spacing w:before="340" w:after="330" w:line="576" w:lineRule="auto"/>
      <w:outlineLvl w:val="0"/>
    </w:pPr>
    <w:rPr>
      <w:rFonts w:eastAsia="黑体"/>
      <w:kern w:val="44"/>
      <w:sz w:val="36"/>
    </w:rPr>
  </w:style>
  <w:style w:type="paragraph" w:styleId="5">
    <w:name w:val="heading 2"/>
    <w:basedOn w:val="1"/>
    <w:next w:val="1"/>
    <w:link w:val="29"/>
    <w:qFormat/>
    <w:uiPriority w:val="99"/>
    <w:pPr>
      <w:keepNext/>
      <w:keepLines/>
      <w:spacing w:before="260" w:after="260" w:line="415" w:lineRule="auto"/>
      <w:ind w:firstLine="0" w:firstLineChars="0"/>
      <w:outlineLvl w:val="1"/>
    </w:pPr>
    <w:rPr>
      <w:rFonts w:ascii="Calibri Light" w:hAnsi="Calibri Light"/>
      <w:b/>
      <w:bCs/>
      <w:szCs w:val="32"/>
    </w:rPr>
  </w:style>
  <w:style w:type="paragraph" w:styleId="6">
    <w:name w:val="heading 3"/>
    <w:basedOn w:val="1"/>
    <w:next w:val="1"/>
    <w:link w:val="30"/>
    <w:qFormat/>
    <w:uiPriority w:val="99"/>
    <w:pPr>
      <w:keepNext/>
      <w:keepLines/>
      <w:spacing w:before="260" w:after="260" w:line="415" w:lineRule="auto"/>
      <w:ind w:firstLine="0" w:firstLineChars="0"/>
      <w:outlineLvl w:val="2"/>
    </w:pPr>
    <w:rPr>
      <w:b/>
      <w:bCs/>
      <w:szCs w:val="32"/>
    </w:rPr>
  </w:style>
  <w:style w:type="character" w:default="1" w:styleId="23">
    <w:name w:val="Default Paragraph Font"/>
    <w:semiHidden/>
    <w:qFormat/>
    <w:uiPriority w:val="99"/>
  </w:style>
  <w:style w:type="table" w:default="1" w:styleId="21">
    <w:name w:val="Normal Table"/>
    <w:semiHidden/>
    <w:unhideWhenUsed/>
    <w:qFormat/>
    <w:uiPriority w:val="99"/>
    <w:tblPr>
      <w:tblCellMar>
        <w:top w:w="0" w:type="dxa"/>
        <w:left w:w="108" w:type="dxa"/>
        <w:bottom w:w="0" w:type="dxa"/>
        <w:right w:w="108" w:type="dxa"/>
      </w:tblCellMar>
    </w:tblPr>
  </w:style>
  <w:style w:type="paragraph" w:customStyle="1" w:styleId="2">
    <w:name w:val="章标题"/>
    <w:basedOn w:val="1"/>
    <w:next w:val="3"/>
    <w:qFormat/>
    <w:uiPriority w:val="99"/>
    <w:pPr>
      <w:widowControl/>
      <w:spacing w:before="158" w:after="153" w:line="323" w:lineRule="atLeast"/>
      <w:ind w:right="-120"/>
      <w:jc w:val="center"/>
      <w:textAlignment w:val="baseline"/>
    </w:pPr>
    <w:rPr>
      <w:color w:val="FF0000"/>
      <w:sz w:val="18"/>
    </w:rPr>
  </w:style>
  <w:style w:type="paragraph" w:customStyle="1" w:styleId="3">
    <w:name w:val="节标题"/>
    <w:basedOn w:val="1"/>
    <w:next w:val="1"/>
    <w:qFormat/>
    <w:uiPriority w:val="99"/>
    <w:pPr>
      <w:widowControl/>
      <w:spacing w:line="289" w:lineRule="atLeast"/>
      <w:jc w:val="center"/>
      <w:textAlignment w:val="baseline"/>
    </w:pPr>
    <w:rPr>
      <w:color w:val="000000"/>
      <w:sz w:val="28"/>
    </w:rPr>
  </w:style>
  <w:style w:type="paragraph" w:styleId="7">
    <w:name w:val="Document Map"/>
    <w:basedOn w:val="1"/>
    <w:link w:val="31"/>
    <w:semiHidden/>
    <w:qFormat/>
    <w:uiPriority w:val="99"/>
    <w:pPr>
      <w:shd w:val="clear" w:color="auto" w:fill="000080"/>
    </w:pPr>
  </w:style>
  <w:style w:type="paragraph" w:styleId="8">
    <w:name w:val="annotation text"/>
    <w:basedOn w:val="1"/>
    <w:link w:val="32"/>
    <w:qFormat/>
    <w:uiPriority w:val="99"/>
    <w:pPr>
      <w:jc w:val="left"/>
    </w:pPr>
  </w:style>
  <w:style w:type="paragraph" w:styleId="9">
    <w:name w:val="Body Text Indent"/>
    <w:basedOn w:val="1"/>
    <w:qFormat/>
    <w:locked/>
    <w:uiPriority w:val="0"/>
    <w:pPr>
      <w:spacing w:after="120"/>
      <w:ind w:left="420" w:leftChars="200"/>
    </w:pPr>
  </w:style>
  <w:style w:type="paragraph" w:styleId="10">
    <w:name w:val="toc 3"/>
    <w:basedOn w:val="1"/>
    <w:next w:val="1"/>
    <w:qFormat/>
    <w:uiPriority w:val="99"/>
    <w:pPr>
      <w:ind w:left="840" w:leftChars="400"/>
    </w:pPr>
  </w:style>
  <w:style w:type="paragraph" w:styleId="11">
    <w:name w:val="Balloon Text"/>
    <w:basedOn w:val="1"/>
    <w:link w:val="33"/>
    <w:qFormat/>
    <w:uiPriority w:val="99"/>
    <w:rPr>
      <w:sz w:val="18"/>
      <w:szCs w:val="18"/>
    </w:rPr>
  </w:style>
  <w:style w:type="paragraph" w:styleId="12">
    <w:name w:val="footer"/>
    <w:basedOn w:val="1"/>
    <w:link w:val="34"/>
    <w:qFormat/>
    <w:uiPriority w:val="99"/>
    <w:pPr>
      <w:tabs>
        <w:tab w:val="center" w:pos="4153"/>
        <w:tab w:val="right" w:pos="8306"/>
      </w:tabs>
      <w:snapToGrid w:val="0"/>
      <w:jc w:val="left"/>
    </w:pPr>
    <w:rPr>
      <w:sz w:val="18"/>
    </w:rPr>
  </w:style>
  <w:style w:type="paragraph" w:styleId="13">
    <w:name w:val="header"/>
    <w:basedOn w:val="1"/>
    <w:link w:val="35"/>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14">
    <w:name w:val="toc 1"/>
    <w:basedOn w:val="1"/>
    <w:next w:val="1"/>
    <w:qFormat/>
    <w:uiPriority w:val="99"/>
    <w:pPr>
      <w:spacing w:before="100" w:after="100" w:line="600" w:lineRule="exact"/>
      <w:ind w:firstLine="0" w:firstLineChars="0"/>
    </w:pPr>
    <w:rPr>
      <w:b/>
      <w:sz w:val="32"/>
    </w:rPr>
  </w:style>
  <w:style w:type="paragraph" w:styleId="15">
    <w:name w:val="toc 2"/>
    <w:basedOn w:val="1"/>
    <w:next w:val="1"/>
    <w:qFormat/>
    <w:uiPriority w:val="99"/>
    <w:pPr>
      <w:ind w:left="200" w:leftChars="200" w:firstLine="0" w:firstLineChars="0"/>
    </w:pPr>
  </w:style>
  <w:style w:type="paragraph" w:styleId="16">
    <w:name w:val="Body Text 2"/>
    <w:basedOn w:val="1"/>
    <w:link w:val="36"/>
    <w:qFormat/>
    <w:uiPriority w:val="99"/>
    <w:pPr>
      <w:jc w:val="center"/>
    </w:pPr>
    <w:rPr>
      <w:sz w:val="30"/>
    </w:rPr>
  </w:style>
  <w:style w:type="paragraph" w:styleId="17">
    <w:name w:val="Normal (Web)"/>
    <w:basedOn w:val="1"/>
    <w:qFormat/>
    <w:uiPriority w:val="99"/>
    <w:pPr>
      <w:spacing w:beforeAutospacing="1" w:afterAutospacing="1"/>
      <w:jc w:val="left"/>
    </w:pPr>
    <w:rPr>
      <w:kern w:val="0"/>
      <w:sz w:val="24"/>
    </w:rPr>
  </w:style>
  <w:style w:type="paragraph" w:styleId="18">
    <w:name w:val="Title"/>
    <w:basedOn w:val="1"/>
    <w:next w:val="1"/>
    <w:link w:val="37"/>
    <w:qFormat/>
    <w:uiPriority w:val="99"/>
    <w:pPr>
      <w:spacing w:before="240" w:after="60"/>
      <w:jc w:val="center"/>
      <w:outlineLvl w:val="0"/>
    </w:pPr>
    <w:rPr>
      <w:rFonts w:ascii="Calibri Light" w:hAnsi="Calibri Light"/>
      <w:b/>
      <w:bCs/>
      <w:sz w:val="32"/>
      <w:szCs w:val="32"/>
    </w:rPr>
  </w:style>
  <w:style w:type="paragraph" w:styleId="19">
    <w:name w:val="annotation subject"/>
    <w:basedOn w:val="8"/>
    <w:next w:val="8"/>
    <w:link w:val="38"/>
    <w:qFormat/>
    <w:uiPriority w:val="99"/>
    <w:rPr>
      <w:b/>
      <w:bCs/>
    </w:rPr>
  </w:style>
  <w:style w:type="paragraph" w:styleId="20">
    <w:name w:val="Body Text First Indent 2"/>
    <w:basedOn w:val="9"/>
    <w:next w:val="1"/>
    <w:qFormat/>
    <w:locked/>
    <w:uiPriority w:val="0"/>
    <w:pPr>
      <w:ind w:firstLine="420" w:firstLineChars="200"/>
    </w:pPr>
  </w:style>
  <w:style w:type="table" w:styleId="22">
    <w:name w:val="Table Grid"/>
    <w:basedOn w:val="21"/>
    <w:qFormat/>
    <w:uiPriority w:val="99"/>
    <w:pPr>
      <w:widowControl w:val="0"/>
      <w:jc w:val="both"/>
    </w:pPr>
    <w:rPr>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4">
    <w:name w:val="FollowedHyperlink"/>
    <w:basedOn w:val="23"/>
    <w:qFormat/>
    <w:uiPriority w:val="99"/>
    <w:rPr>
      <w:rFonts w:cs="Times New Roman"/>
      <w:color w:val="800080"/>
      <w:u w:val="single"/>
    </w:rPr>
  </w:style>
  <w:style w:type="character" w:styleId="25">
    <w:name w:val="Emphasis"/>
    <w:basedOn w:val="23"/>
    <w:qFormat/>
    <w:uiPriority w:val="99"/>
    <w:rPr>
      <w:rFonts w:cs="Times New Roman"/>
      <w:i/>
      <w:iCs/>
    </w:rPr>
  </w:style>
  <w:style w:type="character" w:styleId="26">
    <w:name w:val="Hyperlink"/>
    <w:basedOn w:val="23"/>
    <w:qFormat/>
    <w:uiPriority w:val="99"/>
    <w:rPr>
      <w:rFonts w:cs="Times New Roman"/>
      <w:color w:val="0563C1"/>
      <w:u w:val="single"/>
    </w:rPr>
  </w:style>
  <w:style w:type="character" w:styleId="27">
    <w:name w:val="annotation reference"/>
    <w:basedOn w:val="23"/>
    <w:qFormat/>
    <w:uiPriority w:val="99"/>
    <w:rPr>
      <w:rFonts w:cs="Times New Roman"/>
      <w:sz w:val="21"/>
      <w:szCs w:val="21"/>
    </w:rPr>
  </w:style>
  <w:style w:type="character" w:customStyle="1" w:styleId="28">
    <w:name w:val="Heading 1 Char"/>
    <w:basedOn w:val="23"/>
    <w:link w:val="4"/>
    <w:qFormat/>
    <w:locked/>
    <w:uiPriority w:val="99"/>
    <w:rPr>
      <w:rFonts w:ascii="Calibri" w:hAnsi="Calibri" w:cs="Times New Roman"/>
      <w:b/>
      <w:bCs/>
      <w:kern w:val="44"/>
      <w:sz w:val="44"/>
      <w:szCs w:val="44"/>
    </w:rPr>
  </w:style>
  <w:style w:type="character" w:customStyle="1" w:styleId="29">
    <w:name w:val="Heading 2 Char"/>
    <w:basedOn w:val="23"/>
    <w:link w:val="5"/>
    <w:qFormat/>
    <w:locked/>
    <w:uiPriority w:val="99"/>
    <w:rPr>
      <w:rFonts w:ascii="Calibri Light" w:hAnsi="Calibri Light" w:cs="Times New Roman"/>
      <w:b/>
      <w:bCs/>
      <w:kern w:val="2"/>
      <w:sz w:val="32"/>
      <w:szCs w:val="32"/>
    </w:rPr>
  </w:style>
  <w:style w:type="character" w:customStyle="1" w:styleId="30">
    <w:name w:val="Heading 3 Char"/>
    <w:basedOn w:val="23"/>
    <w:link w:val="6"/>
    <w:qFormat/>
    <w:locked/>
    <w:uiPriority w:val="99"/>
    <w:rPr>
      <w:rFonts w:eastAsia="Times New Roman" w:cs="Times New Roman"/>
      <w:b/>
      <w:bCs/>
      <w:kern w:val="2"/>
      <w:sz w:val="32"/>
      <w:szCs w:val="32"/>
    </w:rPr>
  </w:style>
  <w:style w:type="character" w:customStyle="1" w:styleId="31">
    <w:name w:val="Document Map Char"/>
    <w:basedOn w:val="23"/>
    <w:link w:val="7"/>
    <w:semiHidden/>
    <w:qFormat/>
    <w:locked/>
    <w:uiPriority w:val="99"/>
    <w:rPr>
      <w:rFonts w:cs="Times New Roman"/>
      <w:sz w:val="2"/>
    </w:rPr>
  </w:style>
  <w:style w:type="character" w:customStyle="1" w:styleId="32">
    <w:name w:val="Comment Text Char"/>
    <w:basedOn w:val="23"/>
    <w:link w:val="8"/>
    <w:qFormat/>
    <w:locked/>
    <w:uiPriority w:val="99"/>
    <w:rPr>
      <w:rFonts w:ascii="Calibri" w:hAnsi="Calibri" w:cs="Times New Roman"/>
      <w:kern w:val="2"/>
      <w:sz w:val="24"/>
      <w:szCs w:val="24"/>
    </w:rPr>
  </w:style>
  <w:style w:type="character" w:customStyle="1" w:styleId="33">
    <w:name w:val="Balloon Text Char"/>
    <w:basedOn w:val="23"/>
    <w:link w:val="11"/>
    <w:qFormat/>
    <w:locked/>
    <w:uiPriority w:val="99"/>
    <w:rPr>
      <w:rFonts w:eastAsia="仿宋" w:cs="Times New Roman"/>
      <w:kern w:val="2"/>
      <w:sz w:val="18"/>
      <w:szCs w:val="18"/>
    </w:rPr>
  </w:style>
  <w:style w:type="character" w:customStyle="1" w:styleId="34">
    <w:name w:val="Footer Char"/>
    <w:basedOn w:val="23"/>
    <w:link w:val="12"/>
    <w:qFormat/>
    <w:locked/>
    <w:uiPriority w:val="99"/>
    <w:rPr>
      <w:rFonts w:eastAsia="仿宋" w:cs="Times New Roman"/>
      <w:kern w:val="2"/>
      <w:sz w:val="24"/>
      <w:szCs w:val="24"/>
    </w:rPr>
  </w:style>
  <w:style w:type="character" w:customStyle="1" w:styleId="35">
    <w:name w:val="Header Char"/>
    <w:basedOn w:val="23"/>
    <w:link w:val="13"/>
    <w:semiHidden/>
    <w:qFormat/>
    <w:locked/>
    <w:uiPriority w:val="99"/>
    <w:rPr>
      <w:rFonts w:ascii="Calibri" w:hAnsi="Calibri" w:cs="Times New Roman"/>
      <w:sz w:val="18"/>
      <w:szCs w:val="18"/>
    </w:rPr>
  </w:style>
  <w:style w:type="character" w:customStyle="1" w:styleId="36">
    <w:name w:val="Body Text 2 Char"/>
    <w:basedOn w:val="23"/>
    <w:link w:val="16"/>
    <w:semiHidden/>
    <w:qFormat/>
    <w:locked/>
    <w:uiPriority w:val="99"/>
    <w:rPr>
      <w:rFonts w:ascii="Calibri" w:hAnsi="Calibri" w:cs="Times New Roman"/>
      <w:sz w:val="24"/>
      <w:szCs w:val="24"/>
    </w:rPr>
  </w:style>
  <w:style w:type="character" w:customStyle="1" w:styleId="37">
    <w:name w:val="Title Char"/>
    <w:basedOn w:val="23"/>
    <w:link w:val="18"/>
    <w:qFormat/>
    <w:locked/>
    <w:uiPriority w:val="99"/>
    <w:rPr>
      <w:rFonts w:ascii="Calibri Light" w:hAnsi="Calibri Light" w:eastAsia="宋体" w:cs="Times New Roman"/>
      <w:b/>
      <w:bCs/>
      <w:kern w:val="2"/>
      <w:sz w:val="32"/>
      <w:szCs w:val="32"/>
    </w:rPr>
  </w:style>
  <w:style w:type="character" w:customStyle="1" w:styleId="38">
    <w:name w:val="Comment Subject Char"/>
    <w:basedOn w:val="32"/>
    <w:link w:val="19"/>
    <w:qFormat/>
    <w:locked/>
    <w:uiPriority w:val="99"/>
    <w:rPr>
      <w:b/>
      <w:bCs/>
    </w:rPr>
  </w:style>
  <w:style w:type="paragraph" w:customStyle="1" w:styleId="39">
    <w:name w:val="正文格式"/>
    <w:link w:val="40"/>
    <w:qFormat/>
    <w:uiPriority w:val="99"/>
    <w:pPr>
      <w:ind w:firstLine="720" w:firstLineChars="200"/>
    </w:pPr>
    <w:rPr>
      <w:rFonts w:ascii="Times New Roman" w:hAnsi="Times New Roman" w:eastAsia="宋体" w:cs="Times New Roman"/>
      <w:kern w:val="0"/>
      <w:sz w:val="22"/>
      <w:szCs w:val="20"/>
      <w:lang w:val="en-US" w:eastAsia="zh-CN" w:bidi="ar-SA"/>
    </w:rPr>
  </w:style>
  <w:style w:type="character" w:customStyle="1" w:styleId="40">
    <w:name w:val="正文字 Char"/>
    <w:link w:val="39"/>
    <w:qFormat/>
    <w:locked/>
    <w:uiPriority w:val="99"/>
    <w:rPr>
      <w:rFonts w:eastAsia="Times New Roman"/>
      <w:sz w:val="22"/>
    </w:rPr>
  </w:style>
  <w:style w:type="paragraph" w:customStyle="1" w:styleId="41">
    <w:name w:val="列出段落1"/>
    <w:basedOn w:val="1"/>
    <w:qFormat/>
    <w:uiPriority w:val="99"/>
    <w:pPr>
      <w:ind w:firstLine="420"/>
    </w:pPr>
  </w:style>
  <w:style w:type="paragraph" w:customStyle="1" w:styleId="42">
    <w:name w:val="font5"/>
    <w:basedOn w:val="1"/>
    <w:qFormat/>
    <w:uiPriority w:val="99"/>
    <w:pPr>
      <w:widowControl/>
      <w:spacing w:before="100" w:beforeAutospacing="1" w:after="100" w:afterAutospacing="1"/>
      <w:jc w:val="left"/>
    </w:pPr>
    <w:rPr>
      <w:rFonts w:ascii="宋体" w:hAnsi="宋体" w:cs="宋体"/>
      <w:kern w:val="0"/>
      <w:sz w:val="18"/>
      <w:szCs w:val="18"/>
    </w:rPr>
  </w:style>
  <w:style w:type="paragraph" w:customStyle="1" w:styleId="43">
    <w:name w:val="xl63"/>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4"/>
    </w:rPr>
  </w:style>
  <w:style w:type="paragraph" w:customStyle="1" w:styleId="44">
    <w:name w:val="xl64"/>
    <w:basedOn w:val="1"/>
    <w:qFormat/>
    <w:uiPriority w:val="99"/>
    <w:pPr>
      <w:widowControl/>
      <w:pBdr>
        <w:top w:val="single" w:color="auto" w:sz="4" w:space="0"/>
        <w:left w:val="single" w:color="auto" w:sz="4" w:space="0"/>
        <w:bottom w:val="single" w:color="auto" w:sz="4" w:space="0"/>
        <w:right w:val="single" w:color="auto" w:sz="8" w:space="0"/>
      </w:pBdr>
      <w:spacing w:before="100" w:beforeAutospacing="1" w:after="100" w:afterAutospacing="1"/>
      <w:jc w:val="center"/>
    </w:pPr>
    <w:rPr>
      <w:rFonts w:ascii="宋体" w:hAnsi="宋体" w:cs="宋体"/>
      <w:kern w:val="0"/>
      <w:sz w:val="24"/>
    </w:rPr>
  </w:style>
  <w:style w:type="paragraph" w:customStyle="1" w:styleId="45">
    <w:name w:val="xl65"/>
    <w:basedOn w:val="1"/>
    <w:qFormat/>
    <w:uiPriority w:val="99"/>
    <w:pPr>
      <w:widowControl/>
      <w:pBdr>
        <w:top w:val="single" w:color="auto" w:sz="4" w:space="0"/>
        <w:left w:val="single" w:color="auto" w:sz="8" w:space="0"/>
        <w:bottom w:val="single" w:color="auto" w:sz="4" w:space="0"/>
        <w:right w:val="single" w:color="auto" w:sz="4" w:space="0"/>
      </w:pBdr>
      <w:spacing w:before="100" w:beforeAutospacing="1" w:after="100" w:afterAutospacing="1"/>
      <w:jc w:val="center"/>
    </w:pPr>
    <w:rPr>
      <w:rFonts w:ascii="宋体" w:hAnsi="宋体" w:cs="宋体"/>
      <w:kern w:val="0"/>
      <w:sz w:val="24"/>
    </w:rPr>
  </w:style>
  <w:style w:type="paragraph" w:customStyle="1" w:styleId="46">
    <w:name w:val="xl66"/>
    <w:basedOn w:val="1"/>
    <w:qFormat/>
    <w:uiPriority w:val="99"/>
    <w:pPr>
      <w:widowControl/>
      <w:pBdr>
        <w:top w:val="single" w:color="auto" w:sz="4" w:space="0"/>
        <w:left w:val="single" w:color="auto" w:sz="8" w:space="0"/>
        <w:bottom w:val="single" w:color="auto" w:sz="8" w:space="0"/>
        <w:right w:val="single" w:color="auto" w:sz="4" w:space="0"/>
      </w:pBdr>
      <w:spacing w:before="100" w:beforeAutospacing="1" w:after="100" w:afterAutospacing="1"/>
      <w:jc w:val="center"/>
    </w:pPr>
    <w:rPr>
      <w:rFonts w:ascii="宋体" w:hAnsi="宋体" w:cs="宋体"/>
      <w:kern w:val="0"/>
      <w:sz w:val="24"/>
    </w:rPr>
  </w:style>
  <w:style w:type="paragraph" w:customStyle="1" w:styleId="47">
    <w:name w:val="xl67"/>
    <w:basedOn w:val="1"/>
    <w:qFormat/>
    <w:uiPriority w:val="99"/>
    <w:pPr>
      <w:widowControl/>
      <w:pBdr>
        <w:top w:val="single" w:color="auto" w:sz="4" w:space="0"/>
        <w:left w:val="single" w:color="auto" w:sz="4" w:space="0"/>
        <w:bottom w:val="single" w:color="auto" w:sz="8" w:space="0"/>
        <w:right w:val="single" w:color="auto" w:sz="4" w:space="0"/>
      </w:pBdr>
      <w:spacing w:before="100" w:beforeAutospacing="1" w:after="100" w:afterAutospacing="1"/>
      <w:jc w:val="center"/>
    </w:pPr>
    <w:rPr>
      <w:rFonts w:ascii="宋体" w:hAnsi="宋体" w:cs="宋体"/>
      <w:kern w:val="0"/>
      <w:sz w:val="24"/>
    </w:rPr>
  </w:style>
  <w:style w:type="paragraph" w:customStyle="1" w:styleId="48">
    <w:name w:val="xl68"/>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24"/>
    </w:rPr>
  </w:style>
  <w:style w:type="paragraph" w:customStyle="1" w:styleId="49">
    <w:name w:val="xl69"/>
    <w:basedOn w:val="1"/>
    <w:qFormat/>
    <w:uiPriority w:val="99"/>
    <w:pPr>
      <w:widowControl/>
      <w:pBdr>
        <w:top w:val="single" w:color="auto" w:sz="4" w:space="0"/>
        <w:left w:val="single" w:color="auto" w:sz="4" w:space="0"/>
        <w:bottom w:val="single" w:color="auto" w:sz="4" w:space="0"/>
        <w:right w:val="single" w:color="auto" w:sz="8" w:space="0"/>
      </w:pBdr>
      <w:spacing w:before="100" w:beforeAutospacing="1" w:after="100" w:afterAutospacing="1"/>
      <w:jc w:val="left"/>
    </w:pPr>
    <w:rPr>
      <w:rFonts w:ascii="宋体" w:hAnsi="宋体" w:cs="宋体"/>
      <w:kern w:val="0"/>
      <w:sz w:val="24"/>
    </w:rPr>
  </w:style>
  <w:style w:type="paragraph" w:customStyle="1" w:styleId="50">
    <w:name w:val="xl70"/>
    <w:basedOn w:val="1"/>
    <w:qFormat/>
    <w:uiPriority w:val="99"/>
    <w:pPr>
      <w:widowControl/>
      <w:pBdr>
        <w:top w:val="single" w:color="auto" w:sz="4" w:space="0"/>
        <w:left w:val="single" w:color="auto" w:sz="4" w:space="0"/>
        <w:bottom w:val="single" w:color="auto" w:sz="8" w:space="0"/>
        <w:right w:val="single" w:color="auto" w:sz="4" w:space="0"/>
      </w:pBdr>
      <w:spacing w:before="100" w:beforeAutospacing="1" w:after="100" w:afterAutospacing="1"/>
      <w:jc w:val="left"/>
    </w:pPr>
    <w:rPr>
      <w:rFonts w:ascii="宋体" w:hAnsi="宋体" w:cs="宋体"/>
      <w:kern w:val="0"/>
      <w:sz w:val="24"/>
    </w:rPr>
  </w:style>
  <w:style w:type="paragraph" w:customStyle="1" w:styleId="51">
    <w:name w:val="xl71"/>
    <w:basedOn w:val="1"/>
    <w:qFormat/>
    <w:uiPriority w:val="99"/>
    <w:pPr>
      <w:widowControl/>
      <w:pBdr>
        <w:top w:val="single" w:color="auto" w:sz="4" w:space="0"/>
        <w:left w:val="single" w:color="auto" w:sz="4" w:space="0"/>
        <w:bottom w:val="single" w:color="auto" w:sz="8" w:space="0"/>
        <w:right w:val="single" w:color="auto" w:sz="8" w:space="0"/>
      </w:pBdr>
      <w:spacing w:before="100" w:beforeAutospacing="1" w:after="100" w:afterAutospacing="1"/>
      <w:jc w:val="left"/>
    </w:pPr>
    <w:rPr>
      <w:rFonts w:ascii="宋体" w:hAnsi="宋体" w:cs="宋体"/>
      <w:kern w:val="0"/>
      <w:sz w:val="24"/>
    </w:rPr>
  </w:style>
  <w:style w:type="paragraph" w:customStyle="1" w:styleId="52">
    <w:name w:val="xl72"/>
    <w:basedOn w:val="1"/>
    <w:qFormat/>
    <w:uiPriority w:val="99"/>
    <w:pPr>
      <w:widowControl/>
      <w:pBdr>
        <w:top w:val="single" w:color="auto" w:sz="4" w:space="0"/>
        <w:left w:val="single" w:color="auto" w:sz="8" w:space="0"/>
        <w:bottom w:val="single" w:color="auto" w:sz="4" w:space="0"/>
        <w:right w:val="single" w:color="auto" w:sz="4" w:space="0"/>
      </w:pBdr>
      <w:spacing w:before="100" w:beforeAutospacing="1" w:after="100" w:afterAutospacing="1"/>
      <w:jc w:val="center"/>
      <w:textAlignment w:val="center"/>
    </w:pPr>
    <w:rPr>
      <w:rFonts w:ascii="宋体" w:hAnsi="宋体" w:cs="宋体"/>
      <w:kern w:val="0"/>
      <w:sz w:val="24"/>
    </w:rPr>
  </w:style>
  <w:style w:type="paragraph" w:customStyle="1" w:styleId="53">
    <w:name w:val="xl73"/>
    <w:basedOn w:val="1"/>
    <w:qFormat/>
    <w:uiPriority w:val="99"/>
    <w:pPr>
      <w:widowControl/>
      <w:pBdr>
        <w:top w:val="single" w:color="auto" w:sz="4" w:space="0"/>
        <w:left w:val="single" w:color="auto" w:sz="8" w:space="0"/>
        <w:bottom w:val="single" w:color="auto" w:sz="4" w:space="0"/>
        <w:right w:val="single" w:color="auto" w:sz="4" w:space="0"/>
      </w:pBdr>
      <w:shd w:val="clear" w:color="000000" w:fill="FFFFFF"/>
      <w:spacing w:before="100" w:beforeAutospacing="1" w:after="100" w:afterAutospacing="1"/>
      <w:jc w:val="center"/>
    </w:pPr>
    <w:rPr>
      <w:rFonts w:ascii="宋体" w:hAnsi="宋体" w:cs="宋体"/>
      <w:b/>
      <w:bCs/>
      <w:kern w:val="0"/>
      <w:sz w:val="24"/>
    </w:rPr>
  </w:style>
  <w:style w:type="paragraph" w:customStyle="1" w:styleId="54">
    <w:name w:val="xl74"/>
    <w:basedOn w:val="1"/>
    <w:qFormat/>
    <w:uiPriority w:val="99"/>
    <w:pPr>
      <w:widowControl/>
      <w:pBdr>
        <w:top w:val="single" w:color="auto" w:sz="8" w:space="0"/>
        <w:left w:val="single" w:color="auto" w:sz="8" w:space="0"/>
        <w:bottom w:val="single" w:color="auto" w:sz="4" w:space="0"/>
        <w:right w:val="single" w:color="auto" w:sz="4" w:space="0"/>
      </w:pBdr>
      <w:spacing w:before="100" w:beforeAutospacing="1" w:after="100" w:afterAutospacing="1"/>
      <w:jc w:val="center"/>
      <w:textAlignment w:val="center"/>
    </w:pPr>
    <w:rPr>
      <w:rFonts w:ascii="宋体" w:hAnsi="宋体" w:cs="宋体"/>
      <w:kern w:val="0"/>
      <w:sz w:val="24"/>
    </w:rPr>
  </w:style>
  <w:style w:type="paragraph" w:customStyle="1" w:styleId="55">
    <w:name w:val="xl75"/>
    <w:basedOn w:val="1"/>
    <w:qFormat/>
    <w:uiPriority w:val="99"/>
    <w:pPr>
      <w:widowControl/>
      <w:pBdr>
        <w:top w:val="single" w:color="auto" w:sz="8"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4"/>
    </w:rPr>
  </w:style>
  <w:style w:type="paragraph" w:customStyle="1" w:styleId="56">
    <w:name w:val="xl76"/>
    <w:basedOn w:val="1"/>
    <w:qFormat/>
    <w:uiPriority w:val="99"/>
    <w:pPr>
      <w:widowControl/>
      <w:pBdr>
        <w:top w:val="single" w:color="auto" w:sz="8" w:space="0"/>
        <w:left w:val="single" w:color="auto" w:sz="4" w:space="0"/>
        <w:bottom w:val="single" w:color="auto" w:sz="4" w:space="0"/>
        <w:right w:val="single" w:color="auto" w:sz="8" w:space="0"/>
      </w:pBdr>
      <w:spacing w:before="100" w:beforeAutospacing="1" w:after="100" w:afterAutospacing="1"/>
      <w:jc w:val="center"/>
    </w:pPr>
    <w:rPr>
      <w:rFonts w:ascii="宋体" w:hAnsi="宋体" w:cs="宋体"/>
      <w:kern w:val="0"/>
      <w:sz w:val="24"/>
    </w:rPr>
  </w:style>
  <w:style w:type="paragraph" w:customStyle="1" w:styleId="57">
    <w:name w:val="xl77"/>
    <w:basedOn w:val="1"/>
    <w:qFormat/>
    <w:uiPriority w:val="99"/>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kern w:val="0"/>
      <w:sz w:val="24"/>
    </w:rPr>
  </w:style>
  <w:style w:type="paragraph" w:customStyle="1" w:styleId="58">
    <w:name w:val="xl78"/>
    <w:basedOn w:val="1"/>
    <w:qFormat/>
    <w:uiPriority w:val="99"/>
    <w:pPr>
      <w:widowControl/>
      <w:pBdr>
        <w:top w:val="single" w:color="auto" w:sz="4" w:space="0"/>
        <w:left w:val="single" w:color="auto" w:sz="4" w:space="0"/>
        <w:bottom w:val="single" w:color="auto" w:sz="4" w:space="0"/>
        <w:right w:val="single" w:color="auto" w:sz="8" w:space="0"/>
      </w:pBdr>
      <w:shd w:val="clear" w:color="000000" w:fill="FFFFFF"/>
      <w:spacing w:before="100" w:beforeAutospacing="1" w:after="100" w:afterAutospacing="1"/>
      <w:jc w:val="center"/>
    </w:pPr>
    <w:rPr>
      <w:rFonts w:ascii="宋体" w:hAnsi="宋体" w:cs="宋体"/>
      <w:kern w:val="0"/>
      <w:sz w:val="24"/>
    </w:rPr>
  </w:style>
  <w:style w:type="paragraph" w:customStyle="1" w:styleId="59">
    <w:name w:val="xl79"/>
    <w:basedOn w:val="1"/>
    <w:qFormat/>
    <w:uiPriority w:val="99"/>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b/>
      <w:bCs/>
      <w:kern w:val="0"/>
      <w:sz w:val="24"/>
    </w:rPr>
  </w:style>
  <w:style w:type="paragraph" w:customStyle="1" w:styleId="60">
    <w:name w:val="表头"/>
    <w:basedOn w:val="1"/>
    <w:link w:val="61"/>
    <w:qFormat/>
    <w:uiPriority w:val="99"/>
    <w:pPr>
      <w:spacing w:after="100" w:line="560" w:lineRule="exact"/>
      <w:ind w:firstLine="0" w:firstLineChars="0"/>
      <w:jc w:val="center"/>
    </w:pPr>
    <w:rPr>
      <w:rFonts w:ascii="Times New Roman" w:hAnsi="Times New Roman"/>
      <w:sz w:val="22"/>
      <w:szCs w:val="20"/>
    </w:rPr>
  </w:style>
  <w:style w:type="character" w:customStyle="1" w:styleId="61">
    <w:name w:val="表头 Char"/>
    <w:link w:val="60"/>
    <w:qFormat/>
    <w:locked/>
    <w:uiPriority w:val="99"/>
    <w:rPr>
      <w:rFonts w:eastAsia="Times New Roman"/>
      <w:kern w:val="2"/>
      <w:sz w:val="22"/>
    </w:rPr>
  </w:style>
  <w:style w:type="paragraph" w:customStyle="1" w:styleId="62">
    <w:name w:val="内表"/>
    <w:basedOn w:val="1"/>
    <w:qFormat/>
    <w:uiPriority w:val="99"/>
    <w:pPr>
      <w:ind w:firstLine="0" w:firstLineChars="0"/>
      <w:jc w:val="center"/>
    </w:pPr>
    <w:rPr>
      <w:rFonts w:ascii="Times New Roman" w:hAnsi="Times New Roman"/>
      <w:sz w:val="21"/>
      <w:szCs w:val="21"/>
    </w:rPr>
  </w:style>
  <w:style w:type="paragraph" w:styleId="63">
    <w:name w:val="List Paragraph"/>
    <w:basedOn w:val="1"/>
    <w:qFormat/>
    <w:uiPriority w:val="99"/>
    <w:pPr>
      <w:ind w:firstLine="420"/>
    </w:pPr>
  </w:style>
  <w:style w:type="character" w:customStyle="1" w:styleId="64">
    <w:name w:val="font51"/>
    <w:basedOn w:val="23"/>
    <w:qFormat/>
    <w:uiPriority w:val="99"/>
    <w:rPr>
      <w:rFonts w:ascii="Times New Roman" w:hAnsi="Times New Roman" w:cs="Times New Roman"/>
      <w:b/>
      <w:color w:val="000000"/>
      <w:sz w:val="21"/>
      <w:szCs w:val="21"/>
      <w:u w:val="none"/>
    </w:rPr>
  </w:style>
  <w:style w:type="character" w:customStyle="1" w:styleId="65">
    <w:name w:val="font31"/>
    <w:basedOn w:val="23"/>
    <w:qFormat/>
    <w:uiPriority w:val="99"/>
    <w:rPr>
      <w:rFonts w:ascii="仿宋" w:hAnsi="仿宋" w:eastAsia="仿宋" w:cs="仿宋"/>
      <w:b/>
      <w:color w:val="000000"/>
      <w:sz w:val="21"/>
      <w:szCs w:val="21"/>
      <w:u w:val="none"/>
    </w:rPr>
  </w:style>
  <w:style w:type="paragraph" w:customStyle="1" w:styleId="66">
    <w:name w:val="Default"/>
    <w:qFormat/>
    <w:uiPriority w:val="0"/>
    <w:pPr>
      <w:widowControl w:val="0"/>
      <w:autoSpaceDE w:val="0"/>
      <w:autoSpaceDN w:val="0"/>
      <w:adjustRightInd w:val="0"/>
    </w:pPr>
    <w:rPr>
      <w:rFonts w:ascii="黑体" w:hAnsi="Times New Roman" w:eastAsia="黑体" w:cs="黑体"/>
      <w:color w:val="000000"/>
      <w:sz w:val="24"/>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3" Type="http://schemas.openxmlformats.org/officeDocument/2006/relationships/fontTable" Target="fontTable.xml"/><Relationship Id="rId42" Type="http://schemas.openxmlformats.org/officeDocument/2006/relationships/numbering" Target="numbering.xml"/><Relationship Id="rId41" Type="http://schemas.openxmlformats.org/officeDocument/2006/relationships/customXml" Target="../customXml/item1.xml"/><Relationship Id="rId40" Type="http://schemas.openxmlformats.org/officeDocument/2006/relationships/image" Target="media/image24.png"/><Relationship Id="rId4" Type="http://schemas.openxmlformats.org/officeDocument/2006/relationships/endnotes" Target="endnotes.xml"/><Relationship Id="rId39" Type="http://schemas.openxmlformats.org/officeDocument/2006/relationships/image" Target="media/image23.png"/><Relationship Id="rId38" Type="http://schemas.openxmlformats.org/officeDocument/2006/relationships/image" Target="media/image22.png"/><Relationship Id="rId37" Type="http://schemas.openxmlformats.org/officeDocument/2006/relationships/image" Target="media/image21.png"/><Relationship Id="rId36" Type="http://schemas.openxmlformats.org/officeDocument/2006/relationships/image" Target="media/image20.png"/><Relationship Id="rId35" Type="http://schemas.openxmlformats.org/officeDocument/2006/relationships/image" Target="media/image19.png"/><Relationship Id="rId34" Type="http://schemas.openxmlformats.org/officeDocument/2006/relationships/image" Target="media/image18.png"/><Relationship Id="rId33" Type="http://schemas.openxmlformats.org/officeDocument/2006/relationships/image" Target="media/image17.png"/><Relationship Id="rId32" Type="http://schemas.openxmlformats.org/officeDocument/2006/relationships/image" Target="media/image16.png"/><Relationship Id="rId31" Type="http://schemas.openxmlformats.org/officeDocument/2006/relationships/image" Target="media/image15.png"/><Relationship Id="rId30" Type="http://schemas.openxmlformats.org/officeDocument/2006/relationships/image" Target="media/image14.png"/><Relationship Id="rId3" Type="http://schemas.openxmlformats.org/officeDocument/2006/relationships/footnotes" Target="footnotes.xml"/><Relationship Id="rId29" Type="http://schemas.openxmlformats.org/officeDocument/2006/relationships/image" Target="media/image13.png"/><Relationship Id="rId28" Type="http://schemas.openxmlformats.org/officeDocument/2006/relationships/image" Target="media/image12.png"/><Relationship Id="rId27" Type="http://schemas.openxmlformats.org/officeDocument/2006/relationships/image" Target="media/image11.png"/><Relationship Id="rId26" Type="http://schemas.openxmlformats.org/officeDocument/2006/relationships/image" Target="media/image10.png"/><Relationship Id="rId25" Type="http://schemas.openxmlformats.org/officeDocument/2006/relationships/image" Target="media/image9.png"/><Relationship Id="rId24" Type="http://schemas.openxmlformats.org/officeDocument/2006/relationships/image" Target="media/image8.png"/><Relationship Id="rId23" Type="http://schemas.openxmlformats.org/officeDocument/2006/relationships/image" Target="media/image7.png"/><Relationship Id="rId22" Type="http://schemas.openxmlformats.org/officeDocument/2006/relationships/image" Target="media/image6.png"/><Relationship Id="rId21" Type="http://schemas.openxmlformats.org/officeDocument/2006/relationships/image" Target="media/image5.png"/><Relationship Id="rId20" Type="http://schemas.openxmlformats.org/officeDocument/2006/relationships/image" Target="media/image4.png"/><Relationship Id="rId2" Type="http://schemas.openxmlformats.org/officeDocument/2006/relationships/settings" Target="settings.xml"/><Relationship Id="rId19" Type="http://schemas.openxmlformats.org/officeDocument/2006/relationships/image" Target="media/image3.png"/><Relationship Id="rId18" Type="http://schemas.openxmlformats.org/officeDocument/2006/relationships/image" Target="media/image2.png"/><Relationship Id="rId17" Type="http://schemas.openxmlformats.org/officeDocument/2006/relationships/image" Target="media/image1.png"/><Relationship Id="rId16" Type="http://schemas.openxmlformats.org/officeDocument/2006/relationships/theme" Target="theme/theme1.xml"/><Relationship Id="rId15" Type="http://schemas.openxmlformats.org/officeDocument/2006/relationships/footer" Target="footer8.xml"/><Relationship Id="rId14" Type="http://schemas.openxmlformats.org/officeDocument/2006/relationships/footer" Target="footer7.xml"/><Relationship Id="rId13" Type="http://schemas.openxmlformats.org/officeDocument/2006/relationships/footer" Target="footer6.xml"/><Relationship Id="rId12" Type="http://schemas.openxmlformats.org/officeDocument/2006/relationships/footer" Target="footer5.xml"/><Relationship Id="rId11" Type="http://schemas.openxmlformats.org/officeDocument/2006/relationships/footer" Target="footer4.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Company>Sky123.Org</Company>
  <Pages>68</Pages>
  <Words>6853</Words>
  <Lines>0</Lines>
  <Paragraphs>0</Paragraphs>
  <TotalTime>0</TotalTime>
  <ScaleCrop>false</ScaleCrop>
  <LinksUpToDate>false</LinksUpToDate>
  <CharactersWithSpaces>0</CharactersWithSpaces>
  <Application>WPS Office_11.8.2.10505_F1E327BC-269C-435d-A152-05C5408002CA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2019-07-05T17:53:00Z</dcterms:created>
  <dc:creator>Administrator</dc:creator>
  <cp:lastModifiedBy>user</cp:lastModifiedBy>
  <cp:lastPrinted>2019-03-19T23:51:00Z</cp:lastPrinted>
  <dcterms:modified xsi:type="dcterms:W3CDTF">2023-12-26T11:22:03Z</dcterms:modified>
  <dc:title>遂宁市大英县农村人居环境整治</dc:title>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2052-11.8.2.10505</vt:lpwstr>
  </property>
</Properties>
</file>