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60"/>
        <w:rPr>
          <w:rFonts w:ascii="Times New Roman" w:hAnsi="Times New Roman" w:eastAsia="仿宋"/>
          <w:szCs w:val="28"/>
        </w:rPr>
      </w:pPr>
    </w:p>
    <w:p>
      <w:pPr>
        <w:spacing w:line="600" w:lineRule="exact"/>
        <w:ind w:firstLine="560"/>
        <w:rPr>
          <w:rFonts w:ascii="Times New Roman" w:hAnsi="Times New Roman" w:eastAsia="仿宋"/>
          <w:szCs w:val="28"/>
        </w:rPr>
      </w:pPr>
    </w:p>
    <w:p>
      <w:pPr>
        <w:spacing w:line="600" w:lineRule="exact"/>
        <w:ind w:firstLine="0" w:firstLineChars="0"/>
        <w:jc w:val="center"/>
        <w:rPr>
          <w:rFonts w:hint="eastAsia"/>
          <w:b/>
          <w:sz w:val="48"/>
          <w:szCs w:val="48"/>
        </w:rPr>
      </w:pPr>
      <w:r>
        <w:rPr>
          <w:rFonts w:hint="eastAsia"/>
          <w:b/>
          <w:sz w:val="48"/>
          <w:szCs w:val="48"/>
        </w:rPr>
        <w:t>2019年</w:t>
      </w: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r>
        <w:rPr>
          <w:rFonts w:hint="eastAsia" w:ascii="Times New Roman" w:hAnsi="Times New Roman" w:eastAsia="仿宋"/>
          <w:b/>
          <w:sz w:val="48"/>
          <w:szCs w:val="48"/>
        </w:rPr>
        <w:t>遂宁市</w:t>
      </w:r>
      <w:r>
        <w:rPr>
          <w:rFonts w:hint="eastAsia"/>
          <w:b/>
          <w:sz w:val="48"/>
          <w:szCs w:val="48"/>
        </w:rPr>
        <w:t>射洪市</w:t>
      </w:r>
      <w:r>
        <w:rPr>
          <w:rFonts w:hint="eastAsia"/>
          <w:b/>
          <w:sz w:val="48"/>
          <w:szCs w:val="48"/>
          <w:lang w:val="en-US" w:eastAsia="zh-CN"/>
        </w:rPr>
        <w:t>广兴镇塔子山村</w:t>
      </w:r>
    </w:p>
    <w:p>
      <w:pPr>
        <w:spacing w:line="600" w:lineRule="exact"/>
        <w:ind w:firstLine="0" w:firstLineChars="0"/>
        <w:jc w:val="center"/>
        <w:rPr>
          <w:rFonts w:hint="eastAsia"/>
          <w:b/>
          <w:sz w:val="48"/>
          <w:szCs w:val="48"/>
        </w:rPr>
      </w:pPr>
    </w:p>
    <w:p>
      <w:pPr>
        <w:pStyle w:val="2"/>
        <w:ind w:left="0" w:leftChars="0" w:firstLine="0" w:firstLineChars="0"/>
        <w:jc w:val="both"/>
        <w:rPr>
          <w:rFonts w:hint="eastAsia"/>
          <w:b/>
          <w:sz w:val="48"/>
          <w:szCs w:val="48"/>
        </w:rPr>
      </w:pPr>
    </w:p>
    <w:p>
      <w:pPr>
        <w:pStyle w:val="3"/>
        <w:rPr>
          <w:rFonts w:hint="eastAsia"/>
        </w:rPr>
      </w:pPr>
    </w:p>
    <w:p>
      <w:pPr>
        <w:spacing w:line="600" w:lineRule="exact"/>
        <w:ind w:firstLine="0" w:firstLineChars="0"/>
        <w:jc w:val="center"/>
        <w:rPr>
          <w:rFonts w:ascii="Times New Roman" w:hAnsi="Times New Roman" w:eastAsia="仿宋"/>
          <w:b/>
          <w:sz w:val="48"/>
          <w:szCs w:val="48"/>
        </w:rPr>
      </w:pPr>
      <w:r>
        <w:rPr>
          <w:rFonts w:hint="eastAsia"/>
          <w:b/>
          <w:sz w:val="48"/>
          <w:szCs w:val="48"/>
        </w:rPr>
        <w:t>人居环境整治改厕</w:t>
      </w:r>
      <w:r>
        <w:rPr>
          <w:b/>
          <w:sz w:val="48"/>
          <w:szCs w:val="48"/>
        </w:rPr>
        <w:t>工程</w:t>
      </w: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r>
        <w:rPr>
          <w:rFonts w:ascii="Times New Roman" w:hAnsi="Times New Roman" w:eastAsia="仿宋"/>
          <w:b/>
          <w:sz w:val="48"/>
          <w:szCs w:val="28"/>
        </w:rPr>
        <w:t xml:space="preserve">    </w:t>
      </w:r>
    </w:p>
    <w:p>
      <w:pPr>
        <w:spacing w:line="600" w:lineRule="exact"/>
        <w:ind w:firstLine="0" w:firstLineChars="0"/>
        <w:jc w:val="center"/>
        <w:rPr>
          <w:rFonts w:hint="eastAsia" w:ascii="Times New Roman" w:hAnsi="Times New Roman" w:eastAsia="仿宋"/>
          <w:b/>
          <w:sz w:val="36"/>
          <w:szCs w:val="28"/>
        </w:rPr>
      </w:pPr>
      <w:r>
        <w:rPr>
          <w:rFonts w:hint="eastAsia" w:ascii="Times New Roman" w:hAnsi="Times New Roman" w:eastAsia="仿宋"/>
          <w:b/>
          <w:sz w:val="36"/>
          <w:szCs w:val="28"/>
          <w:lang w:val="en-US" w:eastAsia="zh-CN"/>
        </w:rPr>
        <w:t>射洪市</w:t>
      </w:r>
      <w:r>
        <w:rPr>
          <w:rFonts w:hint="eastAsia" w:ascii="Times New Roman" w:hAnsi="Times New Roman" w:eastAsia="仿宋"/>
          <w:b/>
          <w:sz w:val="36"/>
          <w:szCs w:val="28"/>
        </w:rPr>
        <w:t>农业农村局</w:t>
      </w:r>
    </w:p>
    <w:p>
      <w:pPr>
        <w:pStyle w:val="2"/>
        <w:ind w:firstLine="1807" w:firstLineChars="500"/>
        <w:jc w:val="both"/>
        <w:rPr>
          <w:rFonts w:hint="default" w:eastAsia="仿宋"/>
          <w:color w:val="000000" w:themeColor="text1"/>
          <w:lang w:val="en-US" w:eastAsia="zh-CN"/>
          <w14:textFill>
            <w14:solidFill>
              <w14:schemeClr w14:val="tx1"/>
            </w14:solidFill>
          </w14:textFill>
        </w:rPr>
      </w:pPr>
      <w:r>
        <w:rPr>
          <w:rFonts w:hint="eastAsia" w:ascii="Times New Roman" w:hAnsi="Times New Roman" w:eastAsia="仿宋"/>
          <w:b/>
          <w:color w:val="000000" w:themeColor="text1"/>
          <w:sz w:val="36"/>
          <w:szCs w:val="28"/>
          <w:lang w:val="en-US" w:eastAsia="zh-CN"/>
          <w14:textFill>
            <w14:solidFill>
              <w14:schemeClr w14:val="tx1"/>
            </w14:solidFill>
          </w14:textFill>
        </w:rPr>
        <w:t>绵阳市朝阳建筑设计有限公司</w:t>
      </w:r>
    </w:p>
    <w:p>
      <w:pPr>
        <w:spacing w:line="600" w:lineRule="exact"/>
        <w:ind w:firstLine="0" w:firstLineChars="0"/>
        <w:jc w:val="center"/>
        <w:rPr>
          <w:rFonts w:ascii="Times New Roman" w:hAnsi="Times New Roman" w:eastAsia="仿宋"/>
          <w:b/>
          <w:sz w:val="36"/>
          <w:szCs w:val="28"/>
        </w:rPr>
      </w:pPr>
      <w:r>
        <w:rPr>
          <w:rFonts w:hint="eastAsia" w:ascii="Times New Roman" w:hAnsi="Times New Roman" w:eastAsia="仿宋"/>
          <w:b/>
          <w:sz w:val="36"/>
          <w:szCs w:val="28"/>
        </w:rPr>
        <w:t>二〇一九年</w:t>
      </w:r>
      <w:r>
        <w:rPr>
          <w:rFonts w:hint="eastAsia" w:ascii="Times New Roman" w:hAnsi="Times New Roman" w:eastAsia="仿宋"/>
          <w:b/>
          <w:sz w:val="36"/>
          <w:szCs w:val="28"/>
          <w:lang w:val="en-US" w:eastAsia="zh-CN"/>
        </w:rPr>
        <w:t>九</w:t>
      </w:r>
      <w:r>
        <w:rPr>
          <w:rFonts w:hint="eastAsia" w:ascii="Times New Roman" w:hAnsi="Times New Roman" w:eastAsia="仿宋"/>
          <w:b/>
          <w:sz w:val="36"/>
          <w:szCs w:val="28"/>
        </w:rPr>
        <w:t>月</w:t>
      </w:r>
    </w:p>
    <w:p>
      <w:pPr>
        <w:spacing w:line="600" w:lineRule="exact"/>
        <w:ind w:firstLine="560"/>
        <w:rPr>
          <w:rFonts w:ascii="Times New Roman" w:hAnsi="Times New Roman" w:eastAsia="仿宋"/>
          <w:szCs w:val="28"/>
        </w:rPr>
      </w:pPr>
    </w:p>
    <w:p>
      <w:pPr>
        <w:ind w:firstLine="562"/>
        <w:jc w:val="center"/>
        <w:rPr>
          <w:rFonts w:ascii="Times New Roman" w:hAnsi="Times New Roman" w:eastAsia="仿宋"/>
          <w:b/>
          <w:bCs/>
          <w:szCs w:val="28"/>
        </w:rPr>
      </w:pPr>
      <w:r>
        <w:rPr>
          <w:rFonts w:ascii="Times New Roman" w:hAnsi="Times New Roman" w:eastAsia="仿宋"/>
          <w:b/>
          <w:bCs/>
          <w:szCs w:val="28"/>
        </w:rPr>
        <w:br w:type="page"/>
      </w:r>
    </w:p>
    <w:p>
      <w:pPr>
        <w:ind w:firstLine="560"/>
        <w:jc w:val="center"/>
        <w:rPr>
          <w:rFonts w:ascii="Times New Roman" w:hAnsi="Times New Roman" w:eastAsia="仿宋"/>
          <w:b w:val="0"/>
          <w:bCs w:val="0"/>
          <w:color w:val="000000"/>
          <w:sz w:val="28"/>
          <w:szCs w:val="28"/>
        </w:rPr>
      </w:pPr>
      <w:r>
        <w:rPr>
          <w:rFonts w:hint="eastAsia" w:ascii="Times New Roman" w:hAnsi="Times New Roman" w:eastAsia="仿宋"/>
          <w:b w:val="0"/>
          <w:bCs w:val="0"/>
          <w:color w:val="000000"/>
          <w:sz w:val="28"/>
          <w:szCs w:val="28"/>
        </w:rPr>
        <w:t>前</w:t>
      </w:r>
      <w:r>
        <w:rPr>
          <w:rFonts w:ascii="Times New Roman" w:hAnsi="Times New Roman" w:eastAsia="仿宋"/>
          <w:b w:val="0"/>
          <w:bCs w:val="0"/>
          <w:color w:val="000000"/>
          <w:sz w:val="28"/>
          <w:szCs w:val="28"/>
        </w:rPr>
        <w:t xml:space="preserve"> </w:t>
      </w:r>
      <w:r>
        <w:rPr>
          <w:rFonts w:hint="eastAsia" w:ascii="Times New Roman" w:hAnsi="Times New Roman" w:eastAsia="仿宋"/>
          <w:b w:val="0"/>
          <w:bCs w:val="0"/>
          <w:color w:val="000000"/>
          <w:sz w:val="28"/>
          <w:szCs w:val="28"/>
        </w:rPr>
        <w:t>言</w:t>
      </w:r>
    </w:p>
    <w:p>
      <w:pPr>
        <w:spacing w:line="600" w:lineRule="exact"/>
        <w:ind w:firstLine="560"/>
        <w:jc w:val="left"/>
        <w:rPr>
          <w:rFonts w:ascii="Times New Roman" w:hAnsi="Times New Roman" w:eastAsia="仿宋"/>
          <w:b w:val="0"/>
          <w:bCs w:val="0"/>
          <w:color w:val="000000"/>
          <w:sz w:val="28"/>
          <w:szCs w:val="28"/>
        </w:rPr>
      </w:pPr>
      <w:r>
        <w:rPr>
          <w:rFonts w:hint="eastAsia" w:ascii="Times New Roman" w:hAnsi="Times New Roman" w:eastAsia="仿宋"/>
          <w:b w:val="0"/>
          <w:bCs w:val="0"/>
          <w:sz w:val="28"/>
          <w:szCs w:val="28"/>
        </w:rPr>
        <w:t>实施农村人居环境整治，是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十九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提出的</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乡村振兴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战略的重要组成部分，是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美丽中国</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建设的重要内容，是贯彻省委十一届三次、四次全会和全省乡村振兴大会精神，</w:t>
      </w:r>
      <w:r>
        <w:rPr>
          <w:rFonts w:hint="eastAsia" w:ascii="Times New Roman" w:hAnsi="Times New Roman" w:eastAsia="仿宋"/>
          <w:b w:val="0"/>
          <w:bCs w:val="0"/>
          <w:color w:val="000000"/>
          <w:sz w:val="28"/>
          <w:szCs w:val="28"/>
        </w:rPr>
        <w:t>落实省委农村工作会议暨全省农村人居环境整治推进大会是打好实施乡村振兴战略的第一仗。</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按照《关于改善农村人居环境的实施意见》（川办发〔</w:t>
      </w:r>
      <w:r>
        <w:rPr>
          <w:rFonts w:ascii="Times New Roman" w:hAnsi="Times New Roman" w:eastAsia="仿宋"/>
          <w:b w:val="0"/>
          <w:bCs w:val="0"/>
          <w:sz w:val="28"/>
          <w:szCs w:val="28"/>
        </w:rPr>
        <w:t>2014</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58</w:t>
      </w:r>
      <w:r>
        <w:rPr>
          <w:rFonts w:hint="eastAsia" w:ascii="Times New Roman" w:hAnsi="Times New Roman" w:eastAsia="仿宋"/>
          <w:b w:val="0"/>
          <w:bCs w:val="0"/>
          <w:sz w:val="28"/>
          <w:szCs w:val="28"/>
        </w:rPr>
        <w:t>号）、《四川省农村人居环境整治三年行动实施方案》（川委办</w:t>
      </w:r>
      <w:r>
        <w:rPr>
          <w:rFonts w:ascii="Times New Roman" w:hAnsi="Times New Roman" w:eastAsia="仿宋"/>
          <w:b w:val="0"/>
          <w:bCs w:val="0"/>
          <w:sz w:val="28"/>
          <w:szCs w:val="28"/>
        </w:rPr>
        <w:t>[2018]26</w:t>
      </w:r>
      <w:r>
        <w:rPr>
          <w:rFonts w:hint="eastAsia" w:ascii="Times New Roman" w:hAnsi="Times New Roman" w:eastAsia="仿宋"/>
          <w:b w:val="0"/>
          <w:bCs w:val="0"/>
          <w:sz w:val="28"/>
          <w:szCs w:val="28"/>
        </w:rPr>
        <w:t>号）、《</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美丽四川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宜居乡村</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推进方案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》、《四川省农村人居环境整治村庄清洁行动方案》（川农领办〔</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9</w:t>
      </w:r>
      <w:r>
        <w:rPr>
          <w:rFonts w:hint="eastAsia" w:ascii="Times New Roman" w:hAnsi="Times New Roman" w:eastAsia="仿宋"/>
          <w:b w:val="0"/>
          <w:bCs w:val="0"/>
          <w:sz w:val="28"/>
          <w:szCs w:val="28"/>
        </w:rPr>
        <w:t>号）和《关于抓紧开展</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年农村人居环境整治和长江经济带农业面源污染治理专项申报工作的通知》的要求，为了切实做好农村生活垃圾、污水治理和厕所改造建设等（以下简称</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农村人居环境整治</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）任务，县农业农村局会同有关部门，组织编制了《</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农村人居环境整治三年行动方案（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）》（以下简称《行动方案》）。</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《行动方案》制定了</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年期间</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农村人居环境整治的目标</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分年度计划，阐明了截止</w:t>
      </w:r>
      <w:r>
        <w:rPr>
          <w:rFonts w:ascii="Times New Roman" w:hAnsi="Times New Roman" w:eastAsia="仿宋"/>
          <w:b w:val="0"/>
          <w:bCs w:val="0"/>
          <w:sz w:val="28"/>
          <w:szCs w:val="28"/>
        </w:rPr>
        <w:t>2018</w:t>
      </w:r>
      <w:r>
        <w:rPr>
          <w:rFonts w:hint="eastAsia" w:ascii="Times New Roman" w:hAnsi="Times New Roman" w:eastAsia="仿宋"/>
          <w:b w:val="0"/>
          <w:bCs w:val="0"/>
          <w:sz w:val="28"/>
          <w:szCs w:val="28"/>
        </w:rPr>
        <w:t>年底建设任务完成情况，</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年和</w:t>
      </w:r>
      <w:r>
        <w:rPr>
          <w:rFonts w:ascii="Times New Roman" w:hAnsi="Times New Roman" w:eastAsia="仿宋"/>
          <w:b w:val="0"/>
          <w:bCs w:val="0"/>
          <w:sz w:val="28"/>
          <w:szCs w:val="28"/>
        </w:rPr>
        <w:t>2020</w:t>
      </w:r>
      <w:r>
        <w:rPr>
          <w:rFonts w:hint="eastAsia" w:ascii="Times New Roman" w:hAnsi="Times New Roman" w:eastAsia="仿宋"/>
          <w:b w:val="0"/>
          <w:bCs w:val="0"/>
          <w:sz w:val="28"/>
          <w:szCs w:val="28"/>
        </w:rPr>
        <w:t>年的建设任务以及每年完成整治任务的村庄和镇（乡）数量、受益农村人口等情况。《行动方案》基准年为</w:t>
      </w:r>
      <w:r>
        <w:rPr>
          <w:rFonts w:ascii="Times New Roman" w:hAnsi="Times New Roman" w:eastAsia="仿宋"/>
          <w:b w:val="0"/>
          <w:bCs w:val="0"/>
          <w:sz w:val="28"/>
          <w:szCs w:val="28"/>
        </w:rPr>
        <w:t>2017</w:t>
      </w:r>
      <w:r>
        <w:rPr>
          <w:rFonts w:hint="eastAsia" w:ascii="Times New Roman" w:hAnsi="Times New Roman" w:eastAsia="仿宋"/>
          <w:b w:val="0"/>
          <w:bCs w:val="0"/>
          <w:sz w:val="28"/>
          <w:szCs w:val="28"/>
        </w:rPr>
        <w:t>年，实施年限为</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p>
    <w:p>
      <w:pPr>
        <w:spacing w:line="600" w:lineRule="exact"/>
        <w:ind w:firstLine="0" w:firstLineChars="0"/>
        <w:rPr>
          <w:rFonts w:ascii="Times New Roman" w:hAnsi="Times New Roman" w:eastAsia="仿宋"/>
          <w:b w:val="0"/>
          <w:bCs w:val="0"/>
          <w:sz w:val="28"/>
          <w:szCs w:val="28"/>
        </w:rPr>
      </w:pPr>
    </w:p>
    <w:p>
      <w:pPr>
        <w:spacing w:line="600" w:lineRule="exact"/>
        <w:ind w:firstLine="0" w:firstLineChars="0"/>
        <w:jc w:val="center"/>
        <w:rPr>
          <w:rFonts w:ascii="Times New Roman" w:hAnsi="Times New Roman" w:eastAsia="仿宋"/>
          <w:b w:val="0"/>
          <w:bCs w:val="0"/>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upperRoman" w:start="1"/>
          <w:cols w:space="425" w:num="1"/>
          <w:docGrid w:type="lines" w:linePitch="312" w:charSpace="0"/>
        </w:sectPr>
      </w:pPr>
    </w:p>
    <w:p>
      <w:pPr>
        <w:spacing w:line="600" w:lineRule="exact"/>
        <w:ind w:firstLine="0" w:firstLineChars="0"/>
        <w:jc w:val="center"/>
        <w:rPr>
          <w:rFonts w:hint="eastAsia" w:ascii="Times New Roman" w:hAnsi="Times New Roman" w:eastAsia="仿宋"/>
          <w:b w:val="0"/>
          <w:bCs w:val="0"/>
          <w:sz w:val="28"/>
          <w:szCs w:val="28"/>
        </w:rPr>
      </w:pPr>
      <w:r>
        <w:rPr>
          <w:rFonts w:hint="eastAsia" w:ascii="Times New Roman" w:hAnsi="Times New Roman" w:eastAsia="仿宋"/>
          <w:b w:val="0"/>
          <w:bCs w:val="0"/>
          <w:sz w:val="28"/>
          <w:szCs w:val="28"/>
        </w:rPr>
        <w:t>目</w:t>
      </w:r>
      <w:r>
        <w:rPr>
          <w:rFonts w:ascii="Times New Roman" w:hAnsi="Times New Roman" w:eastAsia="仿宋"/>
          <w:b w:val="0"/>
          <w:bCs w:val="0"/>
          <w:sz w:val="28"/>
          <w:szCs w:val="28"/>
        </w:rPr>
        <w:t xml:space="preserve"> </w:t>
      </w:r>
      <w:r>
        <w:rPr>
          <w:rFonts w:hint="eastAsia" w:ascii="Times New Roman" w:hAnsi="Times New Roman" w:eastAsia="仿宋"/>
          <w:b w:val="0"/>
          <w:bCs w:val="0"/>
          <w:sz w:val="28"/>
          <w:szCs w:val="28"/>
        </w:rPr>
        <w:t>录</w:t>
      </w: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both"/>
        <w:rPr>
          <w:rFonts w:hint="eastAsia" w:ascii="Times New Roman" w:hAnsi="Times New Roman" w:eastAsia="仿宋"/>
          <w:b w:val="0"/>
          <w:bCs w:val="0"/>
          <w:color w:val="000000" w:themeColor="text1"/>
          <w:sz w:val="28"/>
          <w:szCs w:val="28"/>
          <w:u w:val="none"/>
          <w14:textFill>
            <w14:solidFill>
              <w14:schemeClr w14:val="tx1"/>
            </w14:solidFill>
          </w14:textFill>
        </w:rPr>
      </w:pPr>
    </w:p>
    <w:p>
      <w:pPr>
        <w:pStyle w:val="14"/>
        <w:tabs>
          <w:tab w:val="right" w:leader="dot" w:pos="8396"/>
        </w:tabs>
        <w:spacing w:line="360" w:lineRule="exact"/>
        <w:rPr>
          <w:rFonts w:ascii="Times New Roman" w:hAnsi="Times New Roman" w:eastAsia="仿宋"/>
          <w:b w:val="0"/>
          <w:bCs w:val="0"/>
          <w:color w:val="000000" w:themeColor="text1"/>
          <w:sz w:val="28"/>
          <w:szCs w:val="28"/>
          <w:u w:val="none"/>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begin"/>
      </w:r>
      <w:r>
        <w:rPr>
          <w:rStyle w:val="26"/>
          <w:rFonts w:ascii="Times New Roman" w:hAnsi="Times New Roman" w:eastAsia="仿宋"/>
          <w:b w:val="0"/>
          <w:bCs w:val="0"/>
          <w:color w:val="000000" w:themeColor="text1"/>
          <w:sz w:val="28"/>
          <w:szCs w:val="28"/>
          <w:u w:val="none"/>
          <w14:textFill>
            <w14:solidFill>
              <w14:schemeClr w14:val="tx1"/>
            </w14:solidFill>
          </w14:textFill>
        </w:rPr>
        <w:instrText xml:space="preserve"> TOC \o "1-2" \h \z \u </w:instrText>
      </w: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"_Toc3884544"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第一章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Fonts w:hint="eastAsia" w:ascii="方正小标宋简体" w:hAnsi="方正小标宋简体" w:eastAsia="方正小标宋简体" w:cs="方正小标宋简体"/>
          <w:b w:val="0"/>
          <w:bCs w:val="0"/>
          <w:sz w:val="28"/>
          <w:szCs w:val="28"/>
          <w:lang w:val="zh-CN" w:eastAsia="zh-CN"/>
        </w:rPr>
        <w:t>射洪</w:t>
      </w:r>
      <w:r>
        <w:rPr>
          <w:rFonts w:hint="eastAsia" w:ascii="方正小标宋简体" w:hAnsi="方正小标宋简体" w:eastAsia="方正小标宋简体" w:cs="方正小标宋简体"/>
          <w:b w:val="0"/>
          <w:bCs w:val="0"/>
          <w:sz w:val="28"/>
          <w:szCs w:val="28"/>
          <w:lang w:val="en-US" w:eastAsia="zh-CN"/>
        </w:rPr>
        <w:t>市</w:t>
      </w:r>
      <w:r>
        <w:rPr>
          <w:rFonts w:hint="eastAsia" w:ascii="方正小标宋简体" w:hAnsi="方正小标宋简体" w:eastAsia="方正小标宋简体" w:cs="方正小标宋简体"/>
          <w:b w:val="0"/>
          <w:bCs w:val="0"/>
          <w:sz w:val="28"/>
          <w:szCs w:val="28"/>
          <w:lang w:val="zh-CN" w:eastAsia="zh-CN"/>
        </w:rPr>
        <w:t>农村人居环境整治“三大革命”工作方案</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begin"/>
      </w:r>
      <w:r>
        <w:rPr>
          <w:rFonts w:ascii="Times New Roman" w:hAnsi="Times New Roman" w:eastAsia="仿宋"/>
          <w:b w:val="0"/>
          <w:bCs w:val="0"/>
          <w:color w:val="000000" w:themeColor="text1"/>
          <w:sz w:val="28"/>
          <w:szCs w:val="28"/>
          <w:u w:val="none"/>
          <w14:textFill>
            <w14:solidFill>
              <w14:schemeClr w14:val="tx1"/>
            </w14:solidFill>
          </w14:textFill>
        </w:rPr>
        <w:instrText xml:space="preserve"> PAGEREF _Toc3884544 \h </w:instrText>
      </w:r>
      <w:r>
        <w:rPr>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rFonts w:ascii="Times New Roman" w:hAnsi="Times New Roman" w:eastAsia="仿宋"/>
          <w:b w:val="0"/>
          <w:bCs w:val="0"/>
          <w:color w:val="000000" w:themeColor="text1"/>
          <w:sz w:val="28"/>
          <w:szCs w:val="28"/>
          <w:u w:val="none"/>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color w:val="000000" w:themeColor="text1"/>
          <w:u w:val="none"/>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"_Toc3884549"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第二章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发展环境分析</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13</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"_Toc3884553"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第三章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总体要求</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7</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"_Toc3884560"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四</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进度计划</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0</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五</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保障措施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21</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end"/>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六</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技术</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23</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七</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项目建设估算</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43</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八</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项目实施内容及地点</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9</w:t>
      </w:r>
    </w:p>
    <w:p>
      <w:pPr>
        <w:spacing w:line="360" w:lineRule="exact"/>
        <w:ind w:firstLine="0" w:firstLineChars="0"/>
        <w:rPr>
          <w:rStyle w:val="26"/>
          <w:rFonts w:ascii="Times New Roman" w:hAnsi="Times New Roman" w:eastAsia="仿宋"/>
          <w:b w:val="0"/>
          <w:bCs w:val="0"/>
          <w:sz w:val="28"/>
          <w:szCs w:val="28"/>
        </w:rPr>
      </w:pPr>
    </w:p>
    <w:p>
      <w:pPr>
        <w:pStyle w:val="4"/>
        <w:spacing w:line="600" w:lineRule="exact"/>
        <w:ind w:firstLine="0" w:firstLineChars="0"/>
        <w:jc w:val="center"/>
        <w:rPr>
          <w:rFonts w:ascii="Times New Roman" w:hAnsi="Times New Roman" w:eastAsia="仿宋"/>
          <w:b w:val="0"/>
          <w:bCs w:val="0"/>
          <w:color w:val="000000"/>
          <w:sz w:val="28"/>
          <w:szCs w:val="28"/>
        </w:rPr>
        <w:sectPr>
          <w:footerReference r:id="rId11" w:type="default"/>
          <w:pgSz w:w="11906" w:h="16838"/>
          <w:pgMar w:top="1440" w:right="1700" w:bottom="1440" w:left="1800" w:header="851" w:footer="992" w:gutter="0"/>
          <w:pgNumType w:fmt="upperRoman" w:start="1"/>
          <w:cols w:space="425" w:num="1"/>
          <w:docGrid w:type="lines" w:linePitch="312" w:charSpace="0"/>
        </w:sectPr>
      </w:pPr>
    </w:p>
    <w:p>
      <w:pPr>
        <w:pStyle w:val="4"/>
        <w:spacing w:line="600" w:lineRule="exact"/>
        <w:ind w:firstLine="0" w:firstLineChars="0"/>
        <w:jc w:val="center"/>
        <w:rPr>
          <w:rFonts w:ascii="Times New Roman" w:hAnsi="Times New Roman" w:eastAsia="仿宋"/>
          <w:b w:val="0"/>
          <w:bCs w:val="0"/>
          <w:color w:val="000000"/>
          <w:sz w:val="28"/>
          <w:szCs w:val="28"/>
        </w:rPr>
      </w:pPr>
      <w:bookmarkStart w:id="0" w:name="_Toc3884544"/>
      <w:r>
        <w:rPr>
          <w:rFonts w:hint="eastAsia" w:ascii="Times New Roman" w:hAnsi="Times New Roman" w:eastAsia="仿宋"/>
          <w:b w:val="0"/>
          <w:bCs w:val="0"/>
          <w:color w:val="000000"/>
          <w:sz w:val="28"/>
          <w:szCs w:val="28"/>
        </w:rPr>
        <w:t>第一章</w:t>
      </w:r>
      <w:r>
        <w:rPr>
          <w:rFonts w:ascii="Times New Roman" w:hAnsi="Times New Roman" w:eastAsia="仿宋"/>
          <w:b w:val="0"/>
          <w:bCs w:val="0"/>
          <w:color w:val="000000"/>
          <w:sz w:val="28"/>
          <w:szCs w:val="28"/>
        </w:rPr>
        <w:t xml:space="preserve"> </w:t>
      </w:r>
      <w:bookmarkEnd w:id="0"/>
      <w:r>
        <w:rPr>
          <w:rFonts w:hint="eastAsia" w:ascii="方正小标宋简体" w:hAnsi="方正小标宋简体" w:eastAsia="方正小标宋简体" w:cs="方正小标宋简体"/>
          <w:sz w:val="24"/>
          <w:szCs w:val="24"/>
          <w:lang w:val="zh-CN"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val="zh-CN" w:eastAsia="zh-CN"/>
        </w:rPr>
        <w:t>农村人居环境整治“三大革命”工作方案</w:t>
      </w:r>
    </w:p>
    <w:p>
      <w:pPr>
        <w:keepNext w:val="0"/>
        <w:keepLines w:val="0"/>
        <w:pageBreakBefore w:val="0"/>
        <w:widowControl w:val="0"/>
        <w:kinsoku/>
        <w:wordWrap/>
        <w:overflowPunct/>
        <w:topLinePunct w:val="0"/>
        <w:autoSpaceDE/>
        <w:autoSpaceDN/>
        <w:bidi w:val="0"/>
        <w:adjustRightInd/>
        <w:snapToGrid/>
        <w:spacing w:line="324" w:lineRule="auto"/>
        <w:ind w:firstLine="1440" w:firstLineChars="600"/>
        <w:textAlignment w:val="auto"/>
        <w:rPr>
          <w:rFonts w:hint="eastAsia" w:ascii="仿宋_GB2312" w:hAnsi="仿宋_GB2312" w:eastAsia="仿宋_GB2312" w:cs="仿宋_GB2312"/>
          <w:b w:val="0"/>
          <w:bCs w:val="0"/>
          <w:sz w:val="24"/>
          <w:szCs w:val="24"/>
        </w:rPr>
      </w:pPr>
      <w:bookmarkStart w:id="1" w:name="_Toc3884549"/>
      <w:r>
        <w:rPr>
          <w:rFonts w:hint="eastAsia" w:ascii="宋体" w:hAnsi="宋体" w:eastAsia="方正小标宋简体" w:cs="宋体"/>
          <w:b w:val="0"/>
          <w:bCs w:val="0"/>
          <w:color w:val="000000"/>
          <w:sz w:val="24"/>
          <w:szCs w:val="24"/>
          <w:lang w:val="zh-CN" w:bidi="zh-CN"/>
        </w:rPr>
        <w:t>射洪</w:t>
      </w:r>
      <w:r>
        <w:rPr>
          <w:rFonts w:hint="eastAsia" w:ascii="宋体" w:hAnsi="宋体" w:eastAsia="方正小标宋简体" w:cs="宋体"/>
          <w:b w:val="0"/>
          <w:bCs w:val="0"/>
          <w:color w:val="000000"/>
          <w:sz w:val="24"/>
          <w:szCs w:val="24"/>
          <w:lang w:val="en-US" w:bidi="zh-CN"/>
        </w:rPr>
        <w:t>市</w:t>
      </w:r>
      <w:r>
        <w:rPr>
          <w:rFonts w:hint="eastAsia" w:ascii="宋体" w:hAnsi="宋体" w:eastAsia="方正小标宋简体" w:cs="宋体"/>
          <w:b w:val="0"/>
          <w:bCs w:val="0"/>
          <w:color w:val="000000"/>
          <w:sz w:val="24"/>
          <w:szCs w:val="24"/>
          <w:lang w:val="zh-CN" w:bidi="zh-CN"/>
        </w:rPr>
        <w:t>农村人居环境整治“厕所革命”工作方案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为补齐影响群众生活品质短板，切实推动我县农村户用厕所改造提升，按照中、省、市“厕所革命”有关部署，结合我县实际，特制定本工作方案。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黑体" w:hAnsi="黑体" w:eastAsia="黑体" w:cs="黑体"/>
          <w:b w:val="0"/>
          <w:bCs w:val="0"/>
          <w:sz w:val="24"/>
          <w:szCs w:val="24"/>
        </w:rPr>
        <w:t>一、基本原则</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（一）坚持绿色发展</w:t>
      </w:r>
      <w:r>
        <w:rPr>
          <w:rFonts w:hint="eastAsia" w:ascii="仿宋_GB2312" w:hAnsi="仿宋_GB2312" w:eastAsia="仿宋_GB2312" w:cs="仿宋_GB2312"/>
          <w:b w:val="0"/>
          <w:bCs w:val="0"/>
          <w:sz w:val="24"/>
          <w:szCs w:val="24"/>
        </w:rPr>
        <w:t>。秉承绿色发展理念，按照建设美丽宜居乡村的要求，将农村户用厕所改造提升与农村生活污水治理、特色镇（街区）、土坯房改造、</w:t>
      </w:r>
      <w:r>
        <w:rPr>
          <w:rFonts w:hint="eastAsia" w:ascii="仿宋_GB2312" w:hAnsi="仿宋_GB2312" w:eastAsia="仿宋_GB2312" w:cs="仿宋_GB2312"/>
          <w:b w:val="0"/>
          <w:bCs w:val="0"/>
          <w:sz w:val="24"/>
          <w:szCs w:val="24"/>
          <w:lang w:eastAsia="zh-CN"/>
        </w:rPr>
        <w:t>易</w:t>
      </w:r>
      <w:r>
        <w:rPr>
          <w:rFonts w:hint="eastAsia" w:ascii="仿宋_GB2312" w:hAnsi="仿宋_GB2312" w:eastAsia="仿宋_GB2312" w:cs="仿宋_GB2312"/>
          <w:b w:val="0"/>
          <w:bCs w:val="0"/>
          <w:sz w:val="24"/>
          <w:szCs w:val="24"/>
        </w:rPr>
        <w:t>地扶贫搬迁等重大项目结合，统筹推进，切实改善我县农村人居环境，养成良好生活卫生习惯，提升群众生活品质。</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（二）坚持整村推进。</w:t>
      </w:r>
      <w:r>
        <w:rPr>
          <w:rFonts w:hint="eastAsia" w:ascii="仿宋_GB2312" w:hAnsi="仿宋_GB2312" w:eastAsia="仿宋_GB2312" w:cs="仿宋_GB2312"/>
          <w:b w:val="0"/>
          <w:bCs w:val="0"/>
          <w:sz w:val="24"/>
          <w:szCs w:val="24"/>
        </w:rPr>
        <w:t>按照2020年我县农村户用厕所无害化改造提升全覆盖、全面消灭旱厕的总目标，坚持</w:t>
      </w:r>
      <w:r>
        <w:rPr>
          <w:rFonts w:hint="eastAsia" w:ascii="仿宋_GB2312" w:hAnsi="仿宋_GB2312" w:eastAsia="仿宋_GB2312" w:cs="仿宋_GB2312"/>
          <w:b w:val="0"/>
          <w:bCs w:val="0"/>
          <w:sz w:val="24"/>
          <w:szCs w:val="24"/>
          <w:lang w:eastAsia="zh-CN"/>
        </w:rPr>
        <w:t>农</w:t>
      </w:r>
      <w:r>
        <w:rPr>
          <w:rFonts w:hint="eastAsia" w:ascii="仿宋_GB2312" w:hAnsi="仿宋_GB2312" w:eastAsia="仿宋_GB2312" w:cs="仿宋_GB2312"/>
          <w:b w:val="0"/>
          <w:bCs w:val="0"/>
          <w:sz w:val="24"/>
          <w:szCs w:val="24"/>
        </w:rPr>
        <w:t>民主</w:t>
      </w:r>
      <w:r>
        <w:rPr>
          <w:rFonts w:hint="eastAsia" w:ascii="仿宋_GB2312" w:hAnsi="仿宋_GB2312" w:eastAsia="仿宋_GB2312" w:cs="仿宋_GB2312"/>
          <w:b w:val="0"/>
          <w:bCs w:val="0"/>
          <w:sz w:val="24"/>
          <w:szCs w:val="24"/>
          <w:lang w:eastAsia="zh-CN"/>
        </w:rPr>
        <w:t>体</w:t>
      </w:r>
      <w:r>
        <w:rPr>
          <w:rFonts w:hint="eastAsia" w:ascii="仿宋_GB2312" w:hAnsi="仿宋_GB2312" w:eastAsia="仿宋_GB2312" w:cs="仿宋_GB2312"/>
          <w:b w:val="0"/>
          <w:bCs w:val="0"/>
          <w:sz w:val="24"/>
          <w:szCs w:val="24"/>
        </w:rPr>
        <w:t>、政府引导，全域整村推进我县农村户用厕所无害化改造提升。</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（三）坚持稳步推进。</w:t>
      </w:r>
      <w:r>
        <w:rPr>
          <w:rFonts w:hint="eastAsia" w:ascii="仿宋_GB2312" w:hAnsi="仿宋_GB2312" w:eastAsia="仿宋_GB2312" w:cs="仿宋_GB2312"/>
          <w:b w:val="0"/>
          <w:bCs w:val="0"/>
          <w:sz w:val="24"/>
          <w:szCs w:val="24"/>
        </w:rPr>
        <w:t>积极借鉴浙江“千村示范、万村整治”经验，充分尊重农村历史形成的居住现状和居住习惯，把群众认同、群众参与、群众满意作为基本要求，调动农户参与改厕工作的自主性和积极性，示范引领、稳步推进。</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lang w:val="zh-CN"/>
        </w:rPr>
      </w:pPr>
      <w:r>
        <w:rPr>
          <w:rFonts w:hint="eastAsia" w:ascii="楷体_GB2312" w:hAnsi="楷体_GB2312" w:eastAsia="楷体_GB2312" w:cs="楷体_GB2312"/>
          <w:b w:val="0"/>
          <w:bCs w:val="0"/>
          <w:sz w:val="24"/>
          <w:szCs w:val="24"/>
        </w:rPr>
        <w:t>（四）坚持群众主体。</w:t>
      </w:r>
      <w:r>
        <w:rPr>
          <w:rFonts w:hint="eastAsia" w:ascii="仿宋_GB2312" w:hAnsi="仿宋_GB2312" w:eastAsia="仿宋_GB2312" w:cs="仿宋_GB2312"/>
          <w:b w:val="0"/>
          <w:bCs w:val="0"/>
          <w:sz w:val="24"/>
          <w:szCs w:val="24"/>
          <w:lang w:val="zh-CN"/>
        </w:rPr>
        <w:t>积极引导村民共同参与讨论、修订和遵守村规民约，明确村民负责维持庭院内部和房前屋后环境整治、缴纳保洁费、投工投劳等方面的具体责任和义务，推动形成依法立约、以约治村的良好格局。充分发挥农村基层党组织领导核心作用，重视发挥群团、协会、村民理事会、农民合作社等组织的作用，引导群众加强自我教育、自我管理、自我服务、自我监督。</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五</w:t>
      </w: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坚持统筹协调。</w:t>
      </w:r>
      <w:r>
        <w:rPr>
          <w:rFonts w:hint="eastAsia" w:ascii="仿宋_GB2312" w:hAnsi="仿宋_GB2312" w:eastAsia="仿宋_GB2312" w:cs="仿宋_GB2312"/>
          <w:b w:val="0"/>
          <w:bCs w:val="0"/>
          <w:sz w:val="24"/>
          <w:szCs w:val="24"/>
        </w:rPr>
        <w:t>要加强部门协调，建立健全运用好联席会议制度，明确部门分工负责。厕所革命与污水处理、垃圾治理要统筹协调推进，同安排、同部署，确保协调有序。</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农业农村局负责人居环境整治牵头统筹工作，具体负责厕所革命治理工作。</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农能局具体负责厕所革命治理项目实施中的技术指导工作。县发</w:t>
      </w:r>
      <w:r>
        <w:rPr>
          <w:rFonts w:hint="eastAsia" w:ascii="仿宋_GB2312" w:hAnsi="仿宋_GB2312" w:eastAsia="仿宋_GB2312" w:cs="仿宋_GB2312"/>
          <w:b w:val="0"/>
          <w:bCs w:val="0"/>
          <w:sz w:val="24"/>
          <w:szCs w:val="24"/>
          <w:lang w:eastAsia="zh-CN"/>
        </w:rPr>
        <w:t>展</w:t>
      </w:r>
      <w:r>
        <w:rPr>
          <w:rFonts w:hint="eastAsia" w:ascii="仿宋_GB2312" w:hAnsi="仿宋_GB2312" w:eastAsia="仿宋_GB2312" w:cs="仿宋_GB2312"/>
          <w:b w:val="0"/>
          <w:bCs w:val="0"/>
          <w:sz w:val="24"/>
          <w:szCs w:val="24"/>
        </w:rPr>
        <w:t>改</w:t>
      </w:r>
      <w:r>
        <w:rPr>
          <w:rFonts w:hint="eastAsia" w:ascii="仿宋_GB2312" w:hAnsi="仿宋_GB2312" w:eastAsia="仿宋_GB2312" w:cs="仿宋_GB2312"/>
          <w:b w:val="0"/>
          <w:bCs w:val="0"/>
          <w:sz w:val="24"/>
          <w:szCs w:val="24"/>
          <w:lang w:eastAsia="zh-CN"/>
        </w:rPr>
        <w:t>革</w:t>
      </w:r>
      <w:r>
        <w:rPr>
          <w:rFonts w:hint="eastAsia" w:ascii="仿宋_GB2312" w:hAnsi="仿宋_GB2312" w:eastAsia="仿宋_GB2312" w:cs="仿宋_GB2312"/>
          <w:b w:val="0"/>
          <w:bCs w:val="0"/>
          <w:sz w:val="24"/>
          <w:szCs w:val="24"/>
        </w:rPr>
        <w:t>局要研究解释好实施过程中民办公助等群众自主招标流程、程序及规范。县财政局要负责</w:t>
      </w:r>
      <w:r>
        <w:rPr>
          <w:rFonts w:hint="eastAsia" w:ascii="仿宋_GB2312" w:hAnsi="仿宋_GB2312" w:eastAsia="仿宋_GB2312" w:cs="仿宋_GB2312"/>
          <w:b w:val="0"/>
          <w:bCs w:val="0"/>
          <w:sz w:val="24"/>
          <w:szCs w:val="24"/>
          <w:lang w:eastAsia="zh-CN"/>
        </w:rPr>
        <w:t>做</w:t>
      </w:r>
      <w:r>
        <w:rPr>
          <w:rFonts w:hint="eastAsia" w:ascii="仿宋_GB2312" w:hAnsi="仿宋_GB2312" w:eastAsia="仿宋_GB2312" w:cs="仿宋_GB2312"/>
          <w:b w:val="0"/>
          <w:bCs w:val="0"/>
          <w:sz w:val="24"/>
          <w:szCs w:val="24"/>
        </w:rPr>
        <w:t>好</w:t>
      </w:r>
      <w:r>
        <w:rPr>
          <w:rFonts w:hint="eastAsia" w:ascii="仿宋_GB2312" w:hAnsi="仿宋_GB2312" w:eastAsia="仿宋_GB2312" w:cs="仿宋_GB2312"/>
          <w:b w:val="0"/>
          <w:bCs w:val="0"/>
          <w:sz w:val="24"/>
          <w:szCs w:val="24"/>
          <w:lang w:eastAsia="zh-CN"/>
        </w:rPr>
        <w:t>农村</w:t>
      </w:r>
      <w:r>
        <w:rPr>
          <w:rFonts w:hint="eastAsia" w:ascii="仿宋_GB2312" w:hAnsi="仿宋_GB2312" w:eastAsia="仿宋_GB2312" w:cs="仿宋_GB2312"/>
          <w:b w:val="0"/>
          <w:bCs w:val="0"/>
          <w:sz w:val="24"/>
          <w:szCs w:val="24"/>
        </w:rPr>
        <w:t>人居环境整治</w:t>
      </w:r>
      <w:r>
        <w:rPr>
          <w:rFonts w:hint="eastAsia" w:ascii="仿宋_GB2312" w:hAnsi="仿宋_GB2312" w:eastAsia="仿宋_GB2312" w:cs="仿宋_GB2312"/>
          <w:b w:val="0"/>
          <w:bCs w:val="0"/>
          <w:sz w:val="24"/>
          <w:szCs w:val="24"/>
          <w:lang w:eastAsia="zh-CN"/>
        </w:rPr>
        <w:t>专项资金和</w:t>
      </w:r>
      <w:r>
        <w:rPr>
          <w:rFonts w:hint="eastAsia" w:ascii="仿宋_GB2312" w:hAnsi="仿宋_GB2312" w:eastAsia="仿宋_GB2312" w:cs="仿宋_GB2312"/>
          <w:b w:val="0"/>
          <w:bCs w:val="0"/>
          <w:sz w:val="24"/>
          <w:szCs w:val="24"/>
        </w:rPr>
        <w:t>地方债</w:t>
      </w:r>
      <w:r>
        <w:rPr>
          <w:rFonts w:hint="eastAsia" w:ascii="仿宋_GB2312" w:hAnsi="仿宋_GB2312" w:eastAsia="仿宋_GB2312" w:cs="仿宋_GB2312"/>
          <w:b w:val="0"/>
          <w:bCs w:val="0"/>
          <w:sz w:val="24"/>
          <w:szCs w:val="24"/>
          <w:lang w:eastAsia="zh-CN"/>
        </w:rPr>
        <w:t>务</w:t>
      </w:r>
      <w:r>
        <w:rPr>
          <w:rFonts w:hint="eastAsia" w:ascii="仿宋_GB2312" w:hAnsi="仿宋_GB2312" w:eastAsia="仿宋_GB2312" w:cs="仿宋_GB2312"/>
          <w:b w:val="0"/>
          <w:bCs w:val="0"/>
          <w:sz w:val="24"/>
          <w:szCs w:val="24"/>
        </w:rPr>
        <w:t>资金</w:t>
      </w:r>
      <w:r>
        <w:rPr>
          <w:rFonts w:hint="eastAsia" w:ascii="仿宋_GB2312" w:hAnsi="仿宋_GB2312" w:eastAsia="仿宋_GB2312" w:cs="仿宋_GB2312"/>
          <w:b w:val="0"/>
          <w:bCs w:val="0"/>
          <w:sz w:val="24"/>
          <w:szCs w:val="24"/>
          <w:lang w:eastAsia="zh-CN"/>
        </w:rPr>
        <w:t>的</w:t>
      </w:r>
      <w:r>
        <w:rPr>
          <w:rFonts w:hint="eastAsia" w:ascii="仿宋_GB2312" w:hAnsi="仿宋_GB2312" w:eastAsia="仿宋_GB2312" w:cs="仿宋_GB2312"/>
          <w:b w:val="0"/>
          <w:bCs w:val="0"/>
          <w:sz w:val="24"/>
          <w:szCs w:val="24"/>
        </w:rPr>
        <w:t>使用</w:t>
      </w:r>
      <w:r>
        <w:rPr>
          <w:rFonts w:hint="eastAsia" w:ascii="仿宋_GB2312" w:hAnsi="仿宋_GB2312" w:eastAsia="仿宋_GB2312" w:cs="仿宋_GB2312"/>
          <w:b w:val="0"/>
          <w:bCs w:val="0"/>
          <w:sz w:val="24"/>
          <w:szCs w:val="24"/>
          <w:lang w:eastAsia="zh-CN"/>
        </w:rPr>
        <w:t>及拨付</w:t>
      </w:r>
      <w:r>
        <w:rPr>
          <w:rFonts w:hint="eastAsia" w:ascii="仿宋_GB2312" w:hAnsi="仿宋_GB2312" w:eastAsia="仿宋_GB2312" w:cs="仿宋_GB2312"/>
          <w:b w:val="0"/>
          <w:bCs w:val="0"/>
          <w:sz w:val="24"/>
          <w:szCs w:val="24"/>
        </w:rPr>
        <w:t>工作。联席会议制度涉及部门要根据职能职责，做好配合推动工作。</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lang w:val="en-US" w:eastAsia="zh-CN"/>
        </w:rPr>
        <w:t>二</w:t>
      </w:r>
      <w:r>
        <w:rPr>
          <w:rFonts w:hint="eastAsia" w:ascii="黑体" w:hAnsi="黑体" w:eastAsia="黑体" w:cs="黑体"/>
          <w:b w:val="0"/>
          <w:bCs w:val="0"/>
          <w:sz w:val="24"/>
          <w:szCs w:val="24"/>
        </w:rPr>
        <w:t>、工作要求</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（一）统一规划，明确目标任务。</w:t>
      </w:r>
      <w:r>
        <w:rPr>
          <w:rFonts w:hint="eastAsia" w:ascii="仿宋_GB2312" w:hAnsi="仿宋_GB2312" w:eastAsia="仿宋_GB2312" w:cs="仿宋_GB2312"/>
          <w:b w:val="0"/>
          <w:bCs w:val="0"/>
          <w:sz w:val="24"/>
          <w:szCs w:val="24"/>
        </w:rPr>
        <w:t>到2020年，实现我县农村户用厕所无害化改造全覆盖，全面消灭旱厕，进一步提升农村人居环境水平。到2020年，</w:t>
      </w:r>
      <w:r>
        <w:rPr>
          <w:rFonts w:hint="eastAsia" w:ascii="仿宋_GB2312" w:hAnsi="仿宋_GB2312" w:eastAsia="仿宋_GB2312" w:cs="仿宋_GB2312"/>
          <w:b w:val="0"/>
          <w:bCs w:val="0"/>
          <w:color w:val="000000"/>
          <w:sz w:val="24"/>
          <w:szCs w:val="24"/>
          <w:lang w:val="zh-CN" w:bidi="zh-CN"/>
        </w:rPr>
        <w:t>农村卫生厕所普及率达到</w:t>
      </w:r>
      <w:r>
        <w:rPr>
          <w:rFonts w:hint="eastAsia" w:ascii="仿宋_GB2312" w:hAnsi="仿宋_GB2312" w:eastAsia="仿宋_GB2312" w:cs="仿宋_GB2312"/>
          <w:b w:val="0"/>
          <w:bCs w:val="0"/>
          <w:color w:val="000000"/>
          <w:sz w:val="24"/>
          <w:szCs w:val="24"/>
          <w:lang w:bidi="zh-CN"/>
        </w:rPr>
        <w:t>85</w:t>
      </w:r>
      <w:r>
        <w:rPr>
          <w:rFonts w:hint="eastAsia" w:ascii="仿宋_GB2312" w:hAnsi="仿宋_GB2312" w:eastAsia="仿宋_GB2312" w:cs="仿宋_GB2312"/>
          <w:b w:val="0"/>
          <w:bCs w:val="0"/>
          <w:color w:val="000000"/>
          <w:sz w:val="24"/>
          <w:szCs w:val="24"/>
          <w:lang w:val="zh-CN" w:bidi="zh-CN"/>
        </w:rPr>
        <w:t>%以上，</w:t>
      </w:r>
      <w:r>
        <w:rPr>
          <w:rFonts w:hint="eastAsia" w:ascii="仿宋_GB2312" w:hAnsi="仿宋_GB2312" w:eastAsia="仿宋_GB2312" w:cs="仿宋_GB2312"/>
          <w:b w:val="0"/>
          <w:bCs w:val="0"/>
          <w:sz w:val="24"/>
          <w:szCs w:val="24"/>
        </w:rPr>
        <w:t>其中：2019年完成6.46万户。2019年，全面完成全市农业一体化大环线（射洪段）沿线、镇人民政府所在地、新村聚居点、幸福美丽新村等有基础有条件的村组农村户用厕所无害化改造，厕所粪污基本得到处理或资源化利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卫生厕所普及率达到72%以上，管护长效机制初步建立；其余地处偏远的镇卫生厕所普及率达到71%以上。</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（二）强化技术支撑，加强规范指导。</w:t>
      </w:r>
      <w:r>
        <w:rPr>
          <w:rFonts w:hint="eastAsia" w:ascii="仿宋_GB2312" w:hAnsi="仿宋_GB2312" w:eastAsia="仿宋_GB2312" w:cs="仿宋_GB2312"/>
          <w:b w:val="0"/>
          <w:bCs w:val="0"/>
          <w:sz w:val="24"/>
          <w:szCs w:val="24"/>
        </w:rPr>
        <w:t>县农业农村局、县农能局要加强对“厕所革命”工作的监督管理和技术指导，负责提供户用厕所建设标准、施工图册和技术规范指导细则，县综合行政执法局负责公共厕所、旅游厕所。各镇要组织由村组具体负责人员和施工人员参加的“厕所革命”技术规范专业培训，确保“厕所革命”具体管理和施工人员掌握技术，按要求规范施工。</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（三）同步加强粪污治理，解决粪污排放问题。</w:t>
      </w:r>
      <w:r>
        <w:rPr>
          <w:rFonts w:hint="eastAsia" w:ascii="仿宋_GB2312" w:hAnsi="仿宋_GB2312" w:eastAsia="仿宋_GB2312" w:cs="仿宋_GB2312"/>
          <w:b w:val="0"/>
          <w:bCs w:val="0"/>
          <w:sz w:val="24"/>
          <w:szCs w:val="24"/>
        </w:rPr>
        <w:t>将农村“厕所革命”与污水处理相结合，鼓励联户、联村、村镇一体治理。积极推动农村厕所粪污资源化利用，积极探索粪污肥料化、污水达标排放等经济实用技术模式，推行污水无动力处理、沼气发酵、堆肥和有机肥生产等方式，防止随意倾倒粪污，解决好粪污排放和利用问题。科学规划畜牧业和种植业发展布局，大力发展种养循环农业，以沼气和生物天然气为主要处理方向，以农用有机肥和农村能源为主要利用方向，深入推进畜禽养殖废弃物资源化利用，彻底解决粪污排放问题。</w:t>
      </w:r>
    </w:p>
    <w:p>
      <w:pPr>
        <w:keepNext w:val="0"/>
        <w:keepLines w:val="0"/>
        <w:pageBreakBefore w:val="0"/>
        <w:widowControl w:val="0"/>
        <w:kinsoku/>
        <w:wordWrap/>
        <w:overflowPunct/>
        <w:topLinePunct w:val="0"/>
        <w:autoSpaceDE/>
        <w:autoSpaceDN/>
        <w:bidi w:val="0"/>
        <w:adjustRightInd/>
        <w:snapToGrid/>
        <w:spacing w:line="324" w:lineRule="auto"/>
        <w:ind w:firstLine="645"/>
        <w:textAlignment w:val="auto"/>
        <w:rPr>
          <w:rFonts w:hint="eastAsia" w:ascii="仿宋_GB2312" w:hAnsi="仿宋_GB2312" w:eastAsia="仿宋_GB2312" w:cs="仿宋_GB2312"/>
          <w:sz w:val="24"/>
          <w:szCs w:val="24"/>
        </w:rPr>
      </w:pPr>
      <w:r>
        <w:rPr>
          <w:rFonts w:hint="eastAsia" w:ascii="楷体_GB2312" w:hAnsi="楷体_GB2312" w:eastAsia="楷体_GB2312" w:cs="楷体_GB2312"/>
          <w:b w:val="0"/>
          <w:bCs w:val="0"/>
          <w:sz w:val="24"/>
          <w:szCs w:val="24"/>
        </w:rPr>
        <w:t>（四）用好用活政策，实施好惠民工程。</w:t>
      </w:r>
      <w:r>
        <w:rPr>
          <w:rFonts w:hint="eastAsia" w:ascii="仿宋_GB2312" w:hAnsi="仿宋_GB2312" w:eastAsia="仿宋_GB2312" w:cs="仿宋_GB2312"/>
          <w:b w:val="0"/>
          <w:bCs w:val="0"/>
          <w:sz w:val="24"/>
          <w:szCs w:val="24"/>
        </w:rPr>
        <w:t>改厕模式上，由镇村与农户共同规划实施标准和工程内容，可以选择适合本地的三格化粪池、一池三改、户用沼气池、污水处理设施（站）等不同模式；群众愿意自筹，积极性高的，在不提高补助标准的基础上，可实施改房、改厨、改水、改线、改院等；畜禽饲养的农户要求建设沼气池，进行厕沼共治。建设模式上，建设中需要统一采购的设备，原则上以镇为单位，由改厕户委托镇人民政府统一组织采购，也可以采取不低于县统一制定的建设标准和质量要求，农户自主采购。</w:t>
      </w:r>
      <w:r>
        <w:rPr>
          <w:rFonts w:hint="eastAsia" w:ascii="仿宋_GB2312" w:hAnsi="仿宋_GB2312" w:eastAsia="仿宋_GB2312" w:cs="仿宋_GB2312"/>
          <w:sz w:val="24"/>
          <w:szCs w:val="24"/>
        </w:rPr>
        <w:t>施工方式上，</w:t>
      </w:r>
      <w:r>
        <w:rPr>
          <w:rFonts w:hint="eastAsia" w:ascii="仿宋_GB2312" w:hAnsi="仿宋_GB2312" w:eastAsia="仿宋_GB2312" w:cs="仿宋_GB2312"/>
          <w:sz w:val="24"/>
          <w:szCs w:val="24"/>
          <w:lang w:eastAsia="zh-CN"/>
        </w:rPr>
        <w:t>大力推行民办公助</w:t>
      </w:r>
      <w:r>
        <w:rPr>
          <w:rFonts w:hint="eastAsia" w:ascii="仿宋_GB2312" w:eastAsia="仿宋_GB2312" w:hAnsiTheme="minorHAnsi" w:cstheme="minorBidi"/>
          <w:kern w:val="2"/>
          <w:sz w:val="24"/>
          <w:szCs w:val="24"/>
        </w:rPr>
        <w:t>、以奖代补的方式</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原则上按照政府采购、招投标相关规定，以镇或村为单位，招标确定设备供应单位或施工单位，统一组织施工。</w:t>
      </w:r>
      <w:r>
        <w:rPr>
          <w:rFonts w:hint="eastAsia" w:ascii="仿宋_GB2312" w:hAnsi="仿宋_GB2312" w:eastAsia="仿宋_GB2312" w:cs="仿宋_GB2312"/>
          <w:b w:val="0"/>
          <w:bCs w:val="0"/>
          <w:sz w:val="24"/>
          <w:szCs w:val="24"/>
        </w:rPr>
        <w:t>验收方式上，镇村统一组织竣工验收，县相关部门根据情况组织随机抽验，抽验比率原则上不少于3‰，原则上一个镇抽验一次。</w:t>
      </w:r>
      <w:r>
        <w:rPr>
          <w:rFonts w:hint="eastAsia" w:ascii="仿宋_GB2312" w:hAnsi="仿宋_GB2312" w:eastAsia="仿宋_GB2312" w:cs="仿宋_GB2312"/>
          <w:sz w:val="24"/>
          <w:szCs w:val="24"/>
        </w:rPr>
        <w:t>结算方式上，</w:t>
      </w:r>
      <w:r>
        <w:rPr>
          <w:rFonts w:hint="eastAsia" w:ascii="仿宋_GB2312" w:hAnsi="仿宋_GB2312" w:eastAsia="仿宋_GB2312" w:cs="仿宋_GB2312"/>
          <w:sz w:val="24"/>
          <w:szCs w:val="24"/>
          <w:lang w:val="en-US" w:eastAsia="zh-CN"/>
        </w:rPr>
        <w:t>39个</w:t>
      </w:r>
      <w:r>
        <w:rPr>
          <w:rFonts w:hint="eastAsia" w:ascii="仿宋_GB2312" w:hAnsi="仿宋_GB2312" w:eastAsia="仿宋_GB2312" w:cs="仿宋_GB2312"/>
          <w:sz w:val="24"/>
          <w:szCs w:val="24"/>
          <w:lang w:eastAsia="zh-CN"/>
        </w:rPr>
        <w:t>省级“厕所革命”示范村，按照平均</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，进行无害化卫生厕所改造。其余的卫生厕所改造，</w:t>
      </w:r>
      <w:r>
        <w:rPr>
          <w:rFonts w:hint="eastAsia" w:ascii="仿宋_GB2312" w:hAnsi="仿宋_GB2312" w:eastAsia="仿宋_GB2312" w:cs="仿宋_GB2312"/>
          <w:sz w:val="24"/>
          <w:szCs w:val="24"/>
        </w:rPr>
        <w:t>按照</w:t>
      </w:r>
      <w:r>
        <w:rPr>
          <w:rFonts w:hint="eastAsia" w:ascii="仿宋_GB2312" w:hAnsi="仿宋_GB2312" w:eastAsia="仿宋_GB2312" w:cs="仿宋_GB2312"/>
          <w:sz w:val="24"/>
          <w:szCs w:val="24"/>
          <w:lang w:eastAsia="zh-CN"/>
        </w:rPr>
        <w:t>平均</w:t>
      </w:r>
      <w:r>
        <w:rPr>
          <w:rFonts w:hint="eastAsia" w:ascii="仿宋_GB2312" w:hAnsi="仿宋_GB2312" w:eastAsia="仿宋_GB2312" w:cs="仿宋_GB2312"/>
          <w:sz w:val="24"/>
          <w:szCs w:val="24"/>
        </w:rPr>
        <w:t>1000元/户的标准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。改造由</w:t>
      </w:r>
      <w:r>
        <w:rPr>
          <w:rFonts w:hint="eastAsia" w:ascii="仿宋_GB2312" w:hAnsi="仿宋_GB2312" w:eastAsia="仿宋_GB2312" w:cs="仿宋_GB2312"/>
          <w:sz w:val="24"/>
          <w:szCs w:val="24"/>
        </w:rPr>
        <w:t>镇村组织验收，待县级相关部门抽验合格</w:t>
      </w:r>
      <w:r>
        <w:rPr>
          <w:rFonts w:hint="eastAsia" w:ascii="仿宋_GB2312" w:hAnsi="仿宋_GB2312" w:eastAsia="仿宋_GB2312" w:cs="仿宋_GB2312"/>
          <w:sz w:val="24"/>
          <w:szCs w:val="24"/>
          <w:lang w:eastAsia="zh-CN"/>
        </w:rPr>
        <w:t>后</w:t>
      </w:r>
      <w:r>
        <w:rPr>
          <w:rFonts w:hint="eastAsia" w:ascii="仿宋_GB2312" w:hAnsi="仿宋_GB2312" w:eastAsia="仿宋_GB2312" w:cs="仿宋_GB2312"/>
          <w:sz w:val="24"/>
          <w:szCs w:val="24"/>
        </w:rPr>
        <w:t>，直接与施工方进行结算。报账方式上，县财政局将预算指标下达至各镇大平台，报账时，镇财政所按照国库集中支付管理办法、专项资金管理办法和资金预算安排，向县财政局申报直接支付用款计划并提供相关资料，县财政局相关业务股室审核通过后，由国库股进行拨付。资料归档上，相关原件资料均由各镇留档保存。</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（五）强化宣传动员</w:t>
      </w:r>
      <w:r>
        <w:rPr>
          <w:rFonts w:hint="eastAsia" w:ascii="楷体_GB2312" w:hAnsi="楷体_GB2312" w:eastAsia="楷体_GB2312" w:cs="楷体_GB2312"/>
          <w:b w:val="0"/>
          <w:bCs w:val="0"/>
          <w:sz w:val="24"/>
          <w:szCs w:val="24"/>
          <w:lang w:eastAsia="zh-CN"/>
        </w:rPr>
        <w:t>，</w:t>
      </w:r>
      <w:r>
        <w:rPr>
          <w:rFonts w:hint="eastAsia" w:ascii="楷体_GB2312" w:hAnsi="楷体_GB2312" w:eastAsia="楷体_GB2312" w:cs="楷体_GB2312"/>
          <w:b w:val="0"/>
          <w:bCs w:val="0"/>
          <w:sz w:val="24"/>
          <w:szCs w:val="24"/>
        </w:rPr>
        <w:t>做实群众工作。</w:t>
      </w:r>
      <w:r>
        <w:rPr>
          <w:rFonts w:hint="eastAsia" w:ascii="仿宋_GB2312" w:hAnsi="仿宋_GB2312" w:eastAsia="仿宋_GB2312" w:cs="仿宋_GB2312"/>
          <w:b w:val="0"/>
          <w:bCs w:val="0"/>
          <w:sz w:val="24"/>
          <w:szCs w:val="24"/>
        </w:rPr>
        <w:t>充分利用各种宣传手段和途径，通过群众喜闻乐见的形式，大力宣传农村“厕所革命”的政策、实用模式以及对改善人居环境、提高农民生活质量和健康水平的重要作用。广泛号召群众参与到“厕所革命”项目规划、投工投劳投资、施工、厕具选择等工作中来，提高群众参与度和工作透明度。及时报道农村“厕所革命”工作的进展情况和经验做法，激发广大干部群众的积极性、创造性，探索创新提炼总结射洪农村“厕所革命”工作的经验和做法。</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（六）高度重视，逗硬督查考核。</w:t>
      </w:r>
      <w:r>
        <w:rPr>
          <w:rFonts w:hint="eastAsia" w:ascii="仿宋_GB2312" w:hAnsi="仿宋_GB2312" w:eastAsia="仿宋_GB2312" w:cs="仿宋_GB2312"/>
          <w:b w:val="0"/>
          <w:bCs w:val="0"/>
          <w:sz w:val="24"/>
          <w:szCs w:val="24"/>
        </w:rPr>
        <w:t>各镇要高度重视农村人居环境整治工作，充分认识改善农村人居环境的现实意义和工作要求。把农村人居环境整治工作纳入全年目标责任考核范围，建立科学的考核机制，年终逗硬考核奖惩。</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（七）严肃工作纪律，强化党风廉政建设。</w:t>
      </w:r>
      <w:r>
        <w:rPr>
          <w:rFonts w:hint="eastAsia" w:ascii="仿宋_GB2312" w:hAnsi="仿宋_GB2312" w:eastAsia="仿宋_GB2312" w:cs="仿宋_GB2312"/>
          <w:b w:val="0"/>
          <w:bCs w:val="0"/>
          <w:sz w:val="24"/>
          <w:szCs w:val="24"/>
        </w:rPr>
        <w:t>农村人居环境整治是关系农民群众切身利益的民生大事，必须依法依规，务实推进。在推进农村人居环境整治工作的过程中，要杜绝做表面文章、面子工程，警惕形式主义、官僚主义等现象。对在民生项目中捞油水、积民怨的人要依法严惩，对在项目推进中不依法依规，工程质量造假的，发现一起查处一起。</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附件：1.射洪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2019年农村户用厕所改造任务表</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2.四川省农村卫生厕所达标标准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3.射洪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厕所改造技术标准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4.射洪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农村户用卫生厕所改造流程</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5.射洪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农村户用卫生厕所改造申请书（统一模板）</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textAlignment w:val="auto"/>
        <w:rPr>
          <w:rFonts w:hint="eastAsia" w:ascii="仿宋_GB2312" w:hAnsi="仿宋_GB2312" w:eastAsia="仿宋_GB2312" w:cs="仿宋_GB2312"/>
          <w:b w:val="0"/>
          <w:bCs w:val="0"/>
          <w:sz w:val="24"/>
          <w:szCs w:val="24"/>
        </w:rPr>
      </w:pP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0" w:firstLineChars="0"/>
        <w:jc w:val="center"/>
        <w:textAlignment w:val="auto"/>
        <w:rPr>
          <w:rFonts w:hint="eastAsia" w:ascii="仿宋_GB2312" w:hAnsi="仿宋_GB2312" w:eastAsia="仿宋_GB2312" w:cs="仿宋_GB2312"/>
          <w:b w:val="0"/>
          <w:bCs w:val="0"/>
          <w:w w:val="90"/>
          <w:sz w:val="24"/>
          <w:szCs w:val="24"/>
        </w:rPr>
      </w:pPr>
    </w:p>
    <w:p>
      <w:pPr>
        <w:spacing w:line="560" w:lineRule="exact"/>
        <w:ind w:left="0" w:leftChars="0" w:firstLine="0" w:firstLineChars="0"/>
        <w:jc w:val="left"/>
        <w:rPr>
          <w:rFonts w:hint="eastAsia" w:ascii="宋体" w:hAnsi="宋体" w:eastAsia="仿宋_GB2312" w:cs="宋体"/>
          <w:b w:val="0"/>
          <w:bCs w:val="0"/>
          <w:sz w:val="24"/>
          <w:szCs w:val="24"/>
        </w:rPr>
        <w:sectPr>
          <w:footerReference r:id="rId12" w:type="default"/>
          <w:pgSz w:w="11906" w:h="16838"/>
          <w:pgMar w:top="1803" w:right="1440" w:bottom="1803" w:left="1440" w:header="851" w:footer="992" w:gutter="0"/>
          <w:pgNumType w:fmt="decimal" w:start="1"/>
          <w:cols w:space="720" w:num="1"/>
          <w:rtlGutter w:val="0"/>
          <w:docGrid w:type="lines" w:linePitch="312" w:charSpace="0"/>
        </w:sect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附件1</w:t>
      </w:r>
    </w:p>
    <w:p>
      <w:pPr>
        <w:pStyle w:val="20"/>
        <w:spacing w:after="0" w:line="560" w:lineRule="exact"/>
        <w:ind w:left="0" w:leftChars="0" w:firstLine="0" w:firstLineChars="0"/>
        <w:jc w:val="center"/>
        <w:rPr>
          <w:rFonts w:ascii="宋体" w:hAnsi="宋体" w:eastAsia="方正小标宋简体" w:cs="宋体"/>
          <w:b w:val="0"/>
          <w:bCs w:val="0"/>
          <w:w w:val="90"/>
          <w:sz w:val="24"/>
          <w:szCs w:val="24"/>
        </w:rPr>
      </w:pPr>
      <w:r>
        <w:rPr>
          <w:rFonts w:hint="eastAsia" w:ascii="方正小标宋简体" w:hAnsi="方正小标宋简体" w:eastAsia="方正小标宋简体" w:cs="方正小标宋简体"/>
          <w:b w:val="0"/>
          <w:bCs w:val="0"/>
          <w:w w:val="90"/>
          <w:sz w:val="24"/>
          <w:szCs w:val="24"/>
        </w:rPr>
        <w:t>射洪</w:t>
      </w:r>
      <w:r>
        <w:rPr>
          <w:rFonts w:hint="eastAsia" w:ascii="方正小标宋简体" w:hAnsi="方正小标宋简体" w:eastAsia="方正小标宋简体" w:cs="方正小标宋简体"/>
          <w:b w:val="0"/>
          <w:bCs w:val="0"/>
          <w:w w:val="90"/>
          <w:sz w:val="24"/>
          <w:szCs w:val="24"/>
          <w:lang w:val="en-US" w:eastAsia="zh-CN"/>
        </w:rPr>
        <w:t>市</w:t>
      </w:r>
      <w:r>
        <w:rPr>
          <w:rFonts w:hint="eastAsia" w:ascii="方正小标宋简体" w:hAnsi="方正小标宋简体" w:eastAsia="方正小标宋简体" w:cs="方正小标宋简体"/>
          <w:b w:val="0"/>
          <w:bCs w:val="0"/>
          <w:w w:val="90"/>
          <w:sz w:val="24"/>
          <w:szCs w:val="24"/>
        </w:rPr>
        <w:t>2019年农村户用厕所改造任务表</w:t>
      </w:r>
    </w:p>
    <w:tbl>
      <w:tblPr>
        <w:tblStyle w:val="21"/>
        <w:tblW w:w="8680" w:type="dxa"/>
        <w:tblInd w:w="0" w:type="dxa"/>
        <w:tblLayout w:type="fixed"/>
        <w:tblCellMar>
          <w:top w:w="0" w:type="dxa"/>
          <w:left w:w="0" w:type="dxa"/>
          <w:bottom w:w="0" w:type="dxa"/>
          <w:right w:w="0" w:type="dxa"/>
        </w:tblCellMar>
      </w:tblPr>
      <w:tblGrid>
        <w:gridCol w:w="2824"/>
        <w:gridCol w:w="2702"/>
        <w:gridCol w:w="3154"/>
      </w:tblGrid>
      <w:tr>
        <w:tblPrEx>
          <w:tblCellMar>
            <w:top w:w="0" w:type="dxa"/>
            <w:left w:w="0" w:type="dxa"/>
            <w:bottom w:w="0" w:type="dxa"/>
            <w:right w:w="0" w:type="dxa"/>
          </w:tblCellMar>
        </w:tblPrEx>
        <w:trPr>
          <w:trHeight w:val="855"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乡镇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总户数</w:t>
            </w:r>
          </w:p>
        </w:tc>
        <w:tc>
          <w:tcPr>
            <w:tcW w:w="3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2019年任务数</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曹碑镇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2451</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东岳镇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9438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3656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官升镇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4752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金华镇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11334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5035</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金家镇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12262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1932</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明星镇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8830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1607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青岗镇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9216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4247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仁和镇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10118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3603</w:t>
            </w:r>
          </w:p>
        </w:tc>
      </w:tr>
      <w:tr>
        <w:tblPrEx>
          <w:tblCellMar>
            <w:top w:w="0" w:type="dxa"/>
            <w:left w:w="0" w:type="dxa"/>
            <w:bottom w:w="0" w:type="dxa"/>
            <w:right w:w="0" w:type="dxa"/>
          </w:tblCellMar>
        </w:tblPrEx>
        <w:trPr>
          <w:trHeight w:val="66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武安镇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10474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1718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潼射镇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6436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803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文升镇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2508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香山镇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4819</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洋溪镇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2780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瞿河镇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14970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6263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广兴镇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3724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涪西镇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5367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太乙镇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复兴镇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10835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天仙镇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11992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3010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沱牌镇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18981</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3706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大榆镇</w:t>
            </w:r>
          </w:p>
        </w:tc>
        <w:tc>
          <w:tcPr>
            <w:tcW w:w="2702"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12993</w:t>
            </w:r>
          </w:p>
        </w:tc>
        <w:tc>
          <w:tcPr>
            <w:tcW w:w="315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6039</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平安街道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996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140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太和街道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280</w:t>
            </w:r>
          </w:p>
        </w:tc>
      </w:tr>
      <w:tr>
        <w:tblPrEx>
          <w:tblCellMar>
            <w:top w:w="0" w:type="dxa"/>
            <w:left w:w="0" w:type="dxa"/>
            <w:bottom w:w="0" w:type="dxa"/>
            <w:right w:w="0" w:type="dxa"/>
          </w:tblCellMar>
        </w:tblPrEx>
        <w:trPr>
          <w:trHeight w:val="694"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经开区</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9934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200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合计</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219206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64600</w:t>
            </w:r>
          </w:p>
        </w:tc>
      </w:tr>
    </w:tbl>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附件2</w:t>
      </w:r>
    </w:p>
    <w:p>
      <w:pPr>
        <w:spacing w:line="560" w:lineRule="exact"/>
        <w:jc w:val="center"/>
        <w:rPr>
          <w:rFonts w:hint="eastAsia" w:ascii="方正小标宋简体" w:hAnsi="方正小标宋简体" w:eastAsia="方正小标宋简体" w:cs="方正小标宋简体"/>
          <w:b w:val="0"/>
          <w:bCs w:val="0"/>
          <w:sz w:val="24"/>
          <w:szCs w:val="24"/>
        </w:rPr>
      </w:pPr>
      <w:r>
        <w:rPr>
          <w:rFonts w:hint="eastAsia" w:ascii="方正小标宋简体" w:hAnsi="方正小标宋简体" w:eastAsia="方正小标宋简体" w:cs="方正小标宋简体"/>
          <w:b w:val="0"/>
          <w:bCs w:val="0"/>
          <w:sz w:val="24"/>
          <w:szCs w:val="24"/>
        </w:rPr>
        <w:t>四川省农村无害化厕所达标标准</w:t>
      </w:r>
    </w:p>
    <w:p>
      <w:pPr>
        <w:spacing w:line="560" w:lineRule="exact"/>
        <w:jc w:val="left"/>
        <w:rPr>
          <w:rFonts w:hint="eastAsia" w:ascii="宋体" w:hAnsi="宋体" w:eastAsia="仿宋_GB2312" w:cs="宋体"/>
          <w:b w:val="0"/>
          <w:bCs w:val="0"/>
          <w:sz w:val="24"/>
          <w:szCs w:val="24"/>
        </w:rPr>
      </w:pP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一、无害化厕所室内标准。</w:t>
      </w:r>
      <w:r>
        <w:rPr>
          <w:rFonts w:hint="eastAsia" w:ascii="宋体" w:hAnsi="宋体" w:eastAsia="仿宋_GB2312" w:cs="宋体"/>
          <w:b w:val="0"/>
          <w:bCs w:val="0"/>
          <w:sz w:val="24"/>
          <w:szCs w:val="24"/>
        </w:rPr>
        <w:t>厕屋整体结构完整(有墙、有顶、有门),室内有标准便器、清洁卫生、无蝇蛆、基本无臭，贮粪池不渗、不漏、密闭有盖。</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二、无害化厕所粪污处理标准。</w:t>
      </w:r>
      <w:r>
        <w:rPr>
          <w:rFonts w:hint="eastAsia" w:ascii="宋体" w:hAnsi="宋体" w:eastAsia="仿宋_GB2312" w:cs="宋体"/>
          <w:b w:val="0"/>
          <w:bCs w:val="0"/>
          <w:sz w:val="24"/>
          <w:szCs w:val="24"/>
        </w:rPr>
        <w:t>具备有效降低粪便中生物性致病因子传染性的设施，处理后的粪污应达到无害化卫生要求，能够直接用于农业施肥等资源化利用。</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ascii="宋体" w:hAnsi="宋体" w:eastAsia="仿宋_GB2312" w:cs="宋体"/>
          <w:b w:val="0"/>
          <w:bCs w:val="0"/>
          <w:sz w:val="24"/>
          <w:szCs w:val="24"/>
        </w:rPr>
      </w:pPr>
      <w:r>
        <w:rPr>
          <w:rFonts w:hint="eastAsia" w:ascii="黑体" w:hAnsi="黑体" w:eastAsia="黑体" w:cs="黑体"/>
          <w:b w:val="0"/>
          <w:bCs w:val="0"/>
          <w:sz w:val="24"/>
          <w:szCs w:val="24"/>
        </w:rPr>
        <w:t>三、后期维护管理机制。</w:t>
      </w:r>
      <w:r>
        <w:rPr>
          <w:rFonts w:hint="eastAsia" w:ascii="宋体" w:hAnsi="宋体" w:eastAsia="仿宋_GB2312" w:cs="宋体"/>
          <w:b w:val="0"/>
          <w:bCs w:val="0"/>
          <w:sz w:val="24"/>
          <w:szCs w:val="24"/>
        </w:rPr>
        <w:t>有符合当地实际情况的后期维护管理机制，能够长效保障无害化厕所的日常使用、维修维护、清掏清运和粪污利用等环节。</w:t>
      </w:r>
    </w:p>
    <w:p>
      <w:pPr>
        <w:spacing w:line="560" w:lineRule="exact"/>
        <w:jc w:val="left"/>
        <w:rPr>
          <w:rFonts w:hint="eastAsia" w:ascii="宋体" w:hAnsi="宋体" w:eastAsia="仿宋_GB2312" w:cs="宋体"/>
          <w:b w:val="0"/>
          <w:bCs w:val="0"/>
          <w:sz w:val="24"/>
          <w:szCs w:val="24"/>
        </w:rPr>
        <w:sectPr>
          <w:pgSz w:w="11906" w:h="16838"/>
          <w:pgMar w:top="1236" w:right="1440" w:bottom="1236" w:left="1440" w:header="851" w:footer="992" w:gutter="0"/>
          <w:pgNumType w:fmt="decimal"/>
          <w:cols w:space="720" w:num="1"/>
          <w:rtlGutter w:val="0"/>
          <w:docGrid w:type="lines" w:linePitch="312" w:charSpace="0"/>
        </w:sectPr>
      </w:pPr>
    </w:p>
    <w:p>
      <w:pPr>
        <w:spacing w:line="560" w:lineRule="exact"/>
        <w:ind w:left="0" w:leftChars="0" w:firstLine="0" w:firstLineChars="0"/>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附件3</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w:t>
      </w:r>
      <w:r>
        <w:rPr>
          <w:rFonts w:hint="eastAsia" w:ascii="宋体" w:hAnsi="宋体" w:eastAsia="方正小标宋简体" w:cs="宋体"/>
          <w:b w:val="0"/>
          <w:bCs w:val="0"/>
          <w:sz w:val="24"/>
          <w:szCs w:val="24"/>
          <w:lang w:eastAsia="zh-CN"/>
        </w:rPr>
        <w:t>无害化</w:t>
      </w:r>
      <w:r>
        <w:rPr>
          <w:rFonts w:hint="eastAsia" w:ascii="宋体" w:hAnsi="宋体" w:eastAsia="方正小标宋简体" w:cs="宋体"/>
          <w:b w:val="0"/>
          <w:bCs w:val="0"/>
          <w:sz w:val="24"/>
          <w:szCs w:val="24"/>
        </w:rPr>
        <w:t>厕所改造技术标准</w:t>
      </w:r>
    </w:p>
    <w:p>
      <w:pPr>
        <w:pStyle w:val="20"/>
        <w:spacing w:after="0" w:line="560" w:lineRule="exact"/>
        <w:ind w:left="0" w:leftChars="0"/>
        <w:rPr>
          <w:rFonts w:ascii="宋体" w:hAnsi="宋体" w:cs="宋体"/>
          <w:b w:val="0"/>
          <w:bCs w:val="0"/>
          <w:sz w:val="24"/>
          <w:szCs w:val="24"/>
        </w:rPr>
      </w:pP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843"/>
        <w:gridCol w:w="259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序号</w:t>
            </w:r>
          </w:p>
        </w:tc>
        <w:tc>
          <w:tcPr>
            <w:tcW w:w="1843"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项目</w:t>
            </w:r>
          </w:p>
        </w:tc>
        <w:tc>
          <w:tcPr>
            <w:tcW w:w="2595" w:type="dxa"/>
            <w:noWrap w:val="0"/>
            <w:vAlign w:val="center"/>
          </w:tcPr>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《GB 19379-2012》</w:t>
            </w:r>
          </w:p>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国标要求部分指标</w:t>
            </w:r>
          </w:p>
        </w:tc>
        <w:tc>
          <w:tcPr>
            <w:tcW w:w="3175" w:type="dxa"/>
            <w:noWrap w:val="0"/>
            <w:vAlign w:val="center"/>
          </w:tcPr>
          <w:p>
            <w:pPr>
              <w:pStyle w:val="20"/>
              <w:spacing w:after="0" w:line="560" w:lineRule="exact"/>
              <w:ind w:left="0" w:leftChars="0" w:firstLine="480"/>
              <w:jc w:val="center"/>
              <w:rPr>
                <w:rFonts w:ascii="宋体" w:hAnsi="宋体" w:eastAsia="黑体" w:cs="宋体"/>
                <w:b w:val="0"/>
                <w:bCs w:val="0"/>
                <w:sz w:val="24"/>
                <w:szCs w:val="24"/>
              </w:rPr>
            </w:pPr>
            <w:r>
              <w:rPr>
                <w:rFonts w:hint="eastAsia" w:ascii="宋体" w:hAnsi="宋体" w:eastAsia="黑体" w:cs="宋体"/>
                <w:b w:val="0"/>
                <w:bCs w:val="0"/>
                <w:sz w:val="24"/>
                <w:szCs w:val="24"/>
              </w:rPr>
              <w:t>建议标准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厕屋面积（㎡）</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≥1.2</w:t>
            </w:r>
          </w:p>
        </w:tc>
        <w:tc>
          <w:tcPr>
            <w:tcW w:w="3175" w:type="dxa"/>
            <w:noWrap w:val="0"/>
            <w:vAlign w:val="center"/>
          </w:tcPr>
          <w:p>
            <w:pPr>
              <w:widowControl/>
              <w:spacing w:line="560" w:lineRule="exact"/>
              <w:jc w:val="center"/>
              <w:textAlignment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≤长(1.5)*宽(1.2)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厕屋净高/m</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≤原址加高12墙（新砌）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3</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厕屋顶</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防雨、轻体，雨水不流入贮粪池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人工照明/lx</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≥40</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安装照明灯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5</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通风设备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自然或机械通风</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有条件可自行安装换气扇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6</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便</w:t>
            </w:r>
            <w:r>
              <w:rPr>
                <w:rFonts w:hint="eastAsia" w:ascii="宋体" w:hAnsi="宋体" w:eastAsia="仿宋_GB2312" w:cs="宋体"/>
                <w:b w:val="0"/>
                <w:bCs w:val="0"/>
                <w:sz w:val="24"/>
                <w:szCs w:val="24"/>
                <w:lang w:val="en-US" w:eastAsia="zh-CN"/>
              </w:rPr>
              <w:t xml:space="preserve">  </w:t>
            </w:r>
            <w:r>
              <w:rPr>
                <w:rFonts w:hint="eastAsia" w:ascii="宋体" w:hAnsi="宋体" w:eastAsia="仿宋_GB2312" w:cs="宋体"/>
                <w:b w:val="0"/>
                <w:bCs w:val="0"/>
                <w:sz w:val="24"/>
                <w:szCs w:val="24"/>
              </w:rPr>
              <w:t>器</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陶瓷材质坐便器或蹲便器</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color w:val="000000"/>
                <w:kern w:val="0"/>
                <w:sz w:val="24"/>
                <w:szCs w:val="24"/>
                <w:lang w:bidi="ar"/>
              </w:rPr>
            </w:pPr>
            <w:r>
              <w:rPr>
                <w:rFonts w:hint="eastAsia" w:ascii="宋体" w:hAnsi="宋体" w:eastAsia="仿宋_GB2312" w:cs="宋体"/>
                <w:b w:val="0"/>
                <w:bCs w:val="0"/>
                <w:sz w:val="24"/>
                <w:szCs w:val="24"/>
              </w:rPr>
              <w:t>固定安装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7</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冲水设备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安装固定水箱或容器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8</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厕屋地面</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硬化处理</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地面贴砖或混凝土硬化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9</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卫生设施</w:t>
            </w:r>
          </w:p>
        </w:tc>
        <w:tc>
          <w:tcPr>
            <w:tcW w:w="259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室内有专用清扫工具、盛放手纸容器</w:t>
            </w:r>
          </w:p>
        </w:tc>
        <w:tc>
          <w:tcPr>
            <w:tcW w:w="317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自行购置相关设备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10</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洗手设施</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自行安装洗手槽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厕屋门窗</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有通风，防蚊蝇措施</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安装防水防腐</w:t>
            </w:r>
            <w:r>
              <w:rPr>
                <w:rFonts w:hint="eastAsia" w:ascii="宋体" w:hAnsi="宋体" w:eastAsia="仿宋_GB2312" w:cs="宋体"/>
                <w:b w:val="0"/>
                <w:bCs w:val="0"/>
                <w:color w:val="000000"/>
                <w:kern w:val="0"/>
                <w:sz w:val="24"/>
                <w:szCs w:val="24"/>
                <w:lang w:bidi="ar"/>
              </w:rPr>
              <w:t>门窗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hint="default" w:ascii="宋体" w:hAnsi="宋体" w:eastAsia="仿宋_GB2312" w:cs="宋体"/>
                <w:b w:val="0"/>
                <w:bCs w:val="0"/>
                <w:sz w:val="24"/>
                <w:szCs w:val="24"/>
                <w:lang w:val="en-US" w:eastAsia="zh-CN"/>
              </w:rPr>
            </w:pPr>
            <w:r>
              <w:rPr>
                <w:rFonts w:hint="eastAsia" w:ascii="宋体" w:hAnsi="宋体" w:eastAsia="仿宋_GB2312" w:cs="宋体"/>
                <w:b w:val="0"/>
                <w:bCs w:val="0"/>
                <w:sz w:val="24"/>
                <w:szCs w:val="24"/>
                <w:lang w:val="en-US" w:eastAsia="zh-CN"/>
              </w:rPr>
              <w:t>12</w:t>
            </w:r>
          </w:p>
        </w:tc>
        <w:tc>
          <w:tcPr>
            <w:tcW w:w="1843" w:type="dxa"/>
            <w:noWrap w:val="0"/>
            <w:vAlign w:val="center"/>
          </w:tcPr>
          <w:p>
            <w:pPr>
              <w:pStyle w:val="20"/>
              <w:spacing w:after="0" w:line="560" w:lineRule="exact"/>
              <w:ind w:left="0" w:leftChars="0" w:firstLine="0" w:firstLineChars="0"/>
              <w:jc w:val="center"/>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lang w:eastAsia="zh-CN"/>
              </w:rPr>
              <w:t>无害化处理设施</w:t>
            </w:r>
          </w:p>
        </w:tc>
        <w:tc>
          <w:tcPr>
            <w:tcW w:w="5770" w:type="dxa"/>
            <w:gridSpan w:val="2"/>
            <w:noWrap w:val="0"/>
            <w:vAlign w:val="center"/>
          </w:tcPr>
          <w:p>
            <w:pPr>
              <w:pStyle w:val="20"/>
              <w:spacing w:after="0" w:line="400" w:lineRule="exact"/>
              <w:ind w:left="0" w:leftChars="0" w:firstLine="0" w:firstLineChars="0"/>
              <w:jc w:val="left"/>
              <w:rPr>
                <w:rFonts w:hint="eastAsia" w:ascii="宋体" w:hAnsi="宋体" w:eastAsia="仿宋_GB2312" w:cs="宋体"/>
                <w:b w:val="0"/>
                <w:bCs w:val="0"/>
                <w:sz w:val="24"/>
                <w:szCs w:val="24"/>
              </w:rPr>
            </w:pPr>
            <w:r>
              <w:rPr>
                <w:rFonts w:hint="eastAsia" w:ascii="宋体" w:hAnsi="宋体" w:eastAsia="仿宋_GB2312" w:cs="宋体"/>
                <w:b w:val="0"/>
                <w:bCs w:val="0"/>
                <w:sz w:val="24"/>
                <w:szCs w:val="24"/>
                <w:lang w:eastAsia="zh-CN"/>
              </w:rPr>
              <w:t>分户或联户（</w:t>
            </w:r>
            <w:r>
              <w:rPr>
                <w:rFonts w:hint="eastAsia" w:ascii="宋体" w:hAnsi="宋体" w:eastAsia="仿宋_GB2312" w:cs="宋体"/>
                <w:b w:val="0"/>
                <w:bCs w:val="0"/>
                <w:sz w:val="24"/>
                <w:szCs w:val="24"/>
                <w:lang w:val="en-US" w:eastAsia="zh-CN"/>
              </w:rPr>
              <w:t>2-5户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具备有效降低粪便中生物性致病因子传染性设施的三格化粪池</w:t>
            </w:r>
            <w:r>
              <w:rPr>
                <w:rFonts w:hint="eastAsia" w:ascii="宋体" w:hAnsi="宋体" w:eastAsia="仿宋_GB2312" w:cs="宋体"/>
                <w:b w:val="0"/>
                <w:bCs w:val="0"/>
                <w:sz w:val="24"/>
                <w:szCs w:val="24"/>
                <w:lang w:eastAsia="zh-CN"/>
              </w:rPr>
              <w:t>或</w:t>
            </w:r>
            <w:r>
              <w:rPr>
                <w:rFonts w:hint="eastAsia" w:ascii="宋体" w:hAnsi="宋体" w:eastAsia="仿宋_GB2312" w:cs="宋体"/>
                <w:b w:val="0"/>
                <w:bCs w:val="0"/>
                <w:sz w:val="24"/>
                <w:szCs w:val="24"/>
              </w:rPr>
              <w:t>三联通式沼气池</w:t>
            </w:r>
            <w:r>
              <w:rPr>
                <w:rFonts w:hint="eastAsia" w:ascii="宋体" w:hAnsi="宋体" w:eastAsia="仿宋_GB2312" w:cs="宋体"/>
                <w:b w:val="0"/>
                <w:bCs w:val="0"/>
                <w:sz w:val="24"/>
                <w:szCs w:val="24"/>
                <w:lang w:eastAsia="zh-CN"/>
              </w:rPr>
              <w:t>粪污收集设施。</w:t>
            </w:r>
          </w:p>
          <w:p>
            <w:pPr>
              <w:pStyle w:val="20"/>
              <w:spacing w:after="0" w:line="400" w:lineRule="exact"/>
              <w:ind w:left="0" w:leftChars="0" w:firstLine="0" w:firstLineChars="0"/>
              <w:jc w:val="left"/>
              <w:rPr>
                <w:rFonts w:hint="eastAsia"/>
                <w:sz w:val="24"/>
                <w:szCs w:val="24"/>
                <w:lang w:eastAsia="zh-CN"/>
              </w:rPr>
            </w:pPr>
            <w:r>
              <w:rPr>
                <w:rFonts w:hint="eastAsia" w:ascii="宋体" w:hAnsi="宋体" w:eastAsia="仿宋_GB2312" w:cs="宋体"/>
                <w:b w:val="0"/>
                <w:bCs w:val="0"/>
                <w:sz w:val="24"/>
                <w:szCs w:val="24"/>
                <w:lang w:eastAsia="zh-CN"/>
              </w:rPr>
              <w:t>聚居点（</w:t>
            </w:r>
            <w:r>
              <w:rPr>
                <w:rFonts w:hint="eastAsia" w:ascii="宋体" w:hAnsi="宋体" w:eastAsia="仿宋_GB2312" w:cs="宋体"/>
                <w:b w:val="0"/>
                <w:bCs w:val="0"/>
                <w:sz w:val="24"/>
                <w:szCs w:val="24"/>
                <w:lang w:val="en-US" w:eastAsia="zh-CN"/>
              </w:rPr>
              <w:t>10-20户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具有完整上下水道系统及污水处理设施</w:t>
            </w:r>
            <w:r>
              <w:rPr>
                <w:rFonts w:hint="eastAsia" w:ascii="宋体" w:hAnsi="宋体" w:eastAsia="仿宋_GB2312" w:cs="宋体"/>
                <w:b w:val="0"/>
                <w:bCs w:val="0"/>
                <w:sz w:val="24"/>
                <w:szCs w:val="24"/>
                <w:lang w:eastAsia="zh-CN"/>
              </w:rPr>
              <w:t>，</w:t>
            </w:r>
            <w:r>
              <w:rPr>
                <w:rFonts w:hint="eastAsia" w:ascii="宋体" w:hAnsi="宋体" w:eastAsia="仿宋_GB2312" w:cs="宋体"/>
                <w:b w:val="0"/>
                <w:bCs w:val="0"/>
                <w:sz w:val="24"/>
                <w:szCs w:val="24"/>
              </w:rPr>
              <w:t>包含集中收集处理的三格化粪池</w:t>
            </w:r>
            <w:r>
              <w:rPr>
                <w:rFonts w:hint="eastAsia" w:ascii="宋体" w:hAnsi="宋体" w:eastAsia="仿宋_GB2312" w:cs="宋体"/>
                <w:b w:val="0"/>
                <w:bCs w:val="0"/>
                <w:sz w:val="24"/>
                <w:szCs w:val="24"/>
                <w:lang w:eastAsia="zh-CN"/>
              </w:rPr>
              <w:t>，配套生态湿地。</w:t>
            </w:r>
          </w:p>
        </w:tc>
      </w:tr>
    </w:tbl>
    <w:p>
      <w:pPr>
        <w:pStyle w:val="20"/>
        <w:spacing w:after="0" w:line="560" w:lineRule="exact"/>
        <w:ind w:left="0" w:leftChars="0"/>
        <w:rPr>
          <w:rFonts w:ascii="宋体" w:hAnsi="宋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附件4</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农村户用卫生厕所改造主要工作流程</w:t>
      </w:r>
    </w:p>
    <w:p>
      <w:pPr>
        <w:pStyle w:val="20"/>
        <w:spacing w:after="0" w:line="560" w:lineRule="exact"/>
        <w:ind w:left="0" w:leftChars="0"/>
        <w:rPr>
          <w:rFonts w:ascii="宋体" w:hAnsi="宋体" w:cs="宋体"/>
          <w:b w:val="0"/>
          <w:bCs w:val="0"/>
          <w:sz w:val="24"/>
          <w:szCs w:val="24"/>
        </w:rPr>
      </w:pPr>
    </w:p>
    <w:p>
      <w:pPr>
        <w:jc w:val="cente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8240" behindDoc="0" locked="0" layoutInCell="1" allowOverlap="1">
                <wp:simplePos x="0" y="0"/>
                <wp:positionH relativeFrom="column">
                  <wp:posOffset>1229360</wp:posOffset>
                </wp:positionH>
                <wp:positionV relativeFrom="paragraph">
                  <wp:posOffset>96520</wp:posOffset>
                </wp:positionV>
                <wp:extent cx="3084830" cy="438150"/>
                <wp:effectExtent l="6350" t="6350" r="13970" b="12700"/>
                <wp:wrapNone/>
                <wp:docPr id="14" name="流程图: 过程 14"/>
                <wp:cNvGraphicFramePr/>
                <a:graphic xmlns:a="http://schemas.openxmlformats.org/drawingml/2006/main">
                  <a:graphicData uri="http://schemas.microsoft.com/office/word/2010/wordprocessingShape">
                    <wps:wsp>
                      <wps:cNvSpPr/>
                      <wps:spPr>
                        <a:xfrm>
                          <a:off x="2545715" y="1979295"/>
                          <a:ext cx="308483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6.8pt;margin-top:7.6pt;height:34.5pt;width:242.9pt;z-index:251658240;v-text-anchor:middle;mso-width-relative:page;mso-height-relative:page;" fillcolor="#FFFFFF" filled="t" stroked="t" coordsize="21600,21600" o:gfxdata="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WAAAAZHJzL1BLAQIUABQA&#10;AAAIAIdO4kBpUK8u1QAAAAkBAAAPAAAAAAAAAAEAIAAAADgAAABkcnMvZG93bnJldi54bWxQSwEC&#10;FAAUAAAACACHTuJArwqFq4wCAADzBAAADgAAAAAAAAABACAAAAA6AQAAZHJzL2Uyb0RvYy54bWxQ&#10;SwUGAAAAAAYABgBZAQAAOA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9264" behindDoc="0" locked="0" layoutInCell="1" allowOverlap="1">
                <wp:simplePos x="0" y="0"/>
                <wp:positionH relativeFrom="column">
                  <wp:posOffset>2814955</wp:posOffset>
                </wp:positionH>
                <wp:positionV relativeFrom="paragraph">
                  <wp:posOffset>172085</wp:posOffset>
                </wp:positionV>
                <wp:extent cx="7620" cy="278130"/>
                <wp:effectExtent l="48895" t="0" r="57785" b="7620"/>
                <wp:wrapNone/>
                <wp:docPr id="15" name="直接箭头连接符 15"/>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65pt;margin-top:13.55pt;height:21.9pt;width:0.6pt;z-index:251659264;mso-width-relative:page;mso-height-relative:page;" filled="f" stroked="t" coordsize="21600,21600" o:gfxdata="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h/Kt4dgAAAAJAQAADwAAAAAAAAAB&#10;ACAAAAA4AAAAZHJzL2Rvd25yZXYueG1sUEsBAhQAFAAAAAgAh07iQOzjMYX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3360" behindDoc="0" locked="0" layoutInCell="1" allowOverlap="1">
                <wp:simplePos x="0" y="0"/>
                <wp:positionH relativeFrom="column">
                  <wp:posOffset>1238885</wp:posOffset>
                </wp:positionH>
                <wp:positionV relativeFrom="paragraph">
                  <wp:posOffset>79375</wp:posOffset>
                </wp:positionV>
                <wp:extent cx="3075305" cy="438150"/>
                <wp:effectExtent l="6350" t="6350" r="23495" b="12700"/>
                <wp:wrapNone/>
                <wp:docPr id="20" name="流程图: 过程 20"/>
                <wp:cNvGraphicFramePr/>
                <a:graphic xmlns:a="http://schemas.openxmlformats.org/drawingml/2006/main">
                  <a:graphicData uri="http://schemas.microsoft.com/office/word/2010/wordprocessingShape">
                    <wps:wsp>
                      <wps:cNvSpPr/>
                      <wps:spPr>
                        <a:xfrm>
                          <a:off x="0" y="0"/>
                          <a:ext cx="307530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7.55pt;margin-top:6.25pt;height:34.5pt;width:242.15pt;z-index:251663360;v-text-anchor:middle;mso-width-relative:page;mso-height-relative:page;" fillcolor="#FFFFFF" filled="t" stroked="t" coordsize="21600,21600" o:gfxdata="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jxXXjtUA&#10;AAAJAQAADwAAAAAAAAABACAAAAA4AAAAZHJzL2Rvd25yZXYueG1sUEsBAhQAFAAAAAgAh07iQDQk&#10;w6t+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0288" behindDoc="0" locked="0" layoutInCell="1" allowOverlap="1">
                <wp:simplePos x="0" y="0"/>
                <wp:positionH relativeFrom="column">
                  <wp:posOffset>2823845</wp:posOffset>
                </wp:positionH>
                <wp:positionV relativeFrom="paragraph">
                  <wp:posOffset>148590</wp:posOffset>
                </wp:positionV>
                <wp:extent cx="7620" cy="278130"/>
                <wp:effectExtent l="48895" t="0" r="57785" b="7620"/>
                <wp:wrapNone/>
                <wp:docPr id="22" name="直接箭头连接符 22"/>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35pt;margin-top:11.7pt;height:21.9pt;width:0.6pt;z-index:251660288;mso-width-relative:page;mso-height-relative:page;" filled="f" stroked="t" coordsize="21600,21600" o:gfxdata="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J+JhINgAAAAJAQAADwAAAAAAAAAB&#10;ACAAAAA4AAAAZHJzL2Rvd25yZXYueG1sUEsBAhQAFAAAAAgAh07iQP6+kN7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4384" behindDoc="0" locked="0" layoutInCell="1" allowOverlap="1">
                <wp:simplePos x="0" y="0"/>
                <wp:positionH relativeFrom="column">
                  <wp:posOffset>1257300</wp:posOffset>
                </wp:positionH>
                <wp:positionV relativeFrom="paragraph">
                  <wp:posOffset>33655</wp:posOffset>
                </wp:positionV>
                <wp:extent cx="3086100" cy="438150"/>
                <wp:effectExtent l="6350" t="6350" r="12700" b="12700"/>
                <wp:wrapNone/>
                <wp:docPr id="33" name="流程图: 过程 33"/>
                <wp:cNvGraphicFramePr/>
                <a:graphic xmlns:a="http://schemas.openxmlformats.org/drawingml/2006/main">
                  <a:graphicData uri="http://schemas.microsoft.com/office/word/2010/wordprocessingShape">
                    <wps:wsp>
                      <wps:cNvSpPr/>
                      <wps:spPr>
                        <a:xfrm>
                          <a:off x="0" y="0"/>
                          <a:ext cx="3086100" cy="438150"/>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pt;margin-top:2.65pt;height:34.5pt;width:243pt;z-index:251664384;v-text-anchor:middle;mso-width-relative:page;mso-height-relative:page;" fillcolor="#FFFFFF" filled="t" stroked="t" coordsize="21600,21600" o:gfxdata="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cqznotQA&#10;AAAIAQAADwAAAAAAAAABACAAAAA4AAAAZHJzL2Rvd25yZXYueG1sUEsBAhQAFAAAAAgAh07iQN34&#10;tXl/AgAA5wQAAA4AAAAAAAAAAQAgAAAAOQEAAGRycy9lMm9Eb2MueG1sUEsFBgAAAAAGAAYAWQEA&#10;ACoGAAAAAA==&#10;">
                <v:fill on="t" focussize="0,0"/>
                <v:stroke weight="1pt" color="#000000" miterlimit="8" joinstyle="miter"/>
                <v:imagedata o:title=""/>
                <o:lock v:ext="edit" aspectratio="f"/>
                <v:textbo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1312" behindDoc="0" locked="0" layoutInCell="1" allowOverlap="1">
                <wp:simplePos x="0" y="0"/>
                <wp:positionH relativeFrom="column">
                  <wp:posOffset>2818130</wp:posOffset>
                </wp:positionH>
                <wp:positionV relativeFrom="paragraph">
                  <wp:posOffset>121920</wp:posOffset>
                </wp:positionV>
                <wp:extent cx="7620" cy="278130"/>
                <wp:effectExtent l="48895" t="0" r="57785" b="7620"/>
                <wp:wrapNone/>
                <wp:docPr id="34" name="直接箭头连接符 3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9pt;margin-top:9.6pt;height:21.9pt;width:0.6pt;z-index:251661312;mso-width-relative:page;mso-height-relative:page;" filled="f" stroked="t" coordsize="21600,21600" o:gfxdata="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xwnBtNcAAAAJAQAADwAAAAAAAAAB&#10;ACAAAAA4AAAAZHJzL2Rvd25yZXYueG1sUEsBAhQAFAAAAAgAh07iQBriynn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5408" behindDoc="0" locked="0" layoutInCell="1" allowOverlap="1">
                <wp:simplePos x="0" y="0"/>
                <wp:positionH relativeFrom="column">
                  <wp:posOffset>1249045</wp:posOffset>
                </wp:positionH>
                <wp:positionV relativeFrom="paragraph">
                  <wp:posOffset>16510</wp:posOffset>
                </wp:positionV>
                <wp:extent cx="3086735" cy="428625"/>
                <wp:effectExtent l="6350" t="6350" r="12065" b="22225"/>
                <wp:wrapNone/>
                <wp:docPr id="36" name="流程图: 过程 3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8.35pt;margin-top:1.3pt;height:33.75pt;width:243.05pt;z-index:251665408;v-text-anchor:middle;mso-width-relative:page;mso-height-relative:page;" fillcolor="#FFFFFF" filled="t" stroked="t" coordsize="21600,21600" o:gfxdata="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BYAAABkcnMvUEsBAhQAFAAAAAgAh07iQH7uWL7TAAAA&#10;CAEAAA8AAAAAAAAAAQAgAAAAOAAAAGRycy9kb3ducmV2LnhtbFBLAQIUABQAAAAIAIdO4kAk8mkI&#10;fgIAAOcEAAAOAAAAAAAAAAEAIAAAADgBAABkcnMvZTJvRG9jLnhtbFBLBQYAAAAABgAGAFkBAAAo&#10;BgAAAAA=&#10;">
                <v:fill on="t" focussize="0,0"/>
                <v:stroke weight="1pt" color="#000000" miterlimit="8" joinstyle="miter"/>
                <v:imagedata o:title=""/>
                <o:lock v:ext="edit" aspectratio="f"/>
                <v:textbo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2336" behindDoc="0" locked="0" layoutInCell="1" allowOverlap="1">
                <wp:simplePos x="0" y="0"/>
                <wp:positionH relativeFrom="column">
                  <wp:posOffset>2827020</wp:posOffset>
                </wp:positionH>
                <wp:positionV relativeFrom="paragraph">
                  <wp:posOffset>101600</wp:posOffset>
                </wp:positionV>
                <wp:extent cx="7620" cy="278130"/>
                <wp:effectExtent l="48895" t="0" r="57785" b="7620"/>
                <wp:wrapNone/>
                <wp:docPr id="38" name="直接箭头连接符 3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6pt;margin-top:8pt;height:21.9pt;width:0.6pt;z-index:251662336;mso-width-relative:page;mso-height-relative:page;" filled="f" stroked="t" coordsize="21600,21600" o:gfxdata="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CIeQZK1wAAAAkBAAAPAAAAAAAAAAEA&#10;IAAAADgAAABkcnMvZG93bnJldi54bWxQSwECFAAUAAAACACHTuJAoNqC4PoBAAC1AwAADgAAAAAA&#10;AAABACAAAAA8AQAAZHJzL2Uyb0RvYy54bWxQSwUGAAAAAAYABgBZAQAAqA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6432" behindDoc="0" locked="0" layoutInCell="1" allowOverlap="1">
                <wp:simplePos x="0" y="0"/>
                <wp:positionH relativeFrom="column">
                  <wp:posOffset>1239520</wp:posOffset>
                </wp:positionH>
                <wp:positionV relativeFrom="paragraph">
                  <wp:posOffset>355600</wp:posOffset>
                </wp:positionV>
                <wp:extent cx="3084195" cy="438150"/>
                <wp:effectExtent l="6350" t="6350" r="14605" b="12700"/>
                <wp:wrapNone/>
                <wp:docPr id="6" name="流程图: 过程 6"/>
                <wp:cNvGraphicFramePr/>
                <a:graphic xmlns:a="http://schemas.openxmlformats.org/drawingml/2006/main">
                  <a:graphicData uri="http://schemas.microsoft.com/office/word/2010/wordprocessingShape">
                    <wps:wsp>
                      <wps:cNvSpPr/>
                      <wps:spPr>
                        <a:xfrm>
                          <a:off x="0" y="0"/>
                          <a:ext cx="308419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7.6pt;margin-top:28pt;height:34.5pt;width:242.85pt;z-index:251666432;v-text-anchor:middle;mso-width-relative:page;mso-height-relative:page;" fillcolor="#FFFFFF" filled="t" stroked="t" coordsize="21600,21600" o:gfxdata="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oNtskdQA&#10;AAAKAQAADwAAAAAAAAABACAAAAA4AAAAZHJzL2Rvd25yZXYueG1sUEsBAhQAFAAAAAgAh07iQIli&#10;eLt/AgAA5QQAAA4AAAAAAAAAAQAgAAAAOQ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8480" behindDoc="0" locked="0" layoutInCell="1" allowOverlap="1">
                <wp:simplePos x="0" y="0"/>
                <wp:positionH relativeFrom="column">
                  <wp:posOffset>1248410</wp:posOffset>
                </wp:positionH>
                <wp:positionV relativeFrom="paragraph">
                  <wp:posOffset>321310</wp:posOffset>
                </wp:positionV>
                <wp:extent cx="3068320" cy="438150"/>
                <wp:effectExtent l="6350" t="6350" r="11430" b="12700"/>
                <wp:wrapNone/>
                <wp:docPr id="39" name="流程图: 过程 39"/>
                <wp:cNvGraphicFramePr/>
                <a:graphic xmlns:a="http://schemas.openxmlformats.org/drawingml/2006/main">
                  <a:graphicData uri="http://schemas.microsoft.com/office/word/2010/wordprocessingShape">
                    <wps:wsp>
                      <wps:cNvSpPr/>
                      <wps:spPr>
                        <a:xfrm>
                          <a:off x="0" y="0"/>
                          <a:ext cx="306832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8.3pt;margin-top:25.3pt;height:34.5pt;width:241.6pt;z-index:251668480;v-text-anchor:middle;mso-width-relative:page;mso-height-relative:page;" fillcolor="#FFFFFF" filled="t" stroked="t" coordsize="21600,21600" o:gfxdata="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WAAAAZHJzL1BLAQIUABQAAAAIAIdO4kBRQCGp0wAA&#10;AAoBAAAPAAAAAAAAAAEAIAAAADgAAABkcnMvZG93bnJldi54bWxQSwECFAAUAAAACACHTuJA4A/Y&#10;aX8CAADnBAAADgAAAAAAAAABACAAAAA4AQAAZHJzL2Uyb0RvYy54bWxQSwUGAAAAAAYABgBZAQAA&#10;KQ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0528" behindDoc="0" locked="0" layoutInCell="1" allowOverlap="1">
                <wp:simplePos x="0" y="0"/>
                <wp:positionH relativeFrom="column">
                  <wp:posOffset>2855595</wp:posOffset>
                </wp:positionH>
                <wp:positionV relativeFrom="paragraph">
                  <wp:posOffset>42545</wp:posOffset>
                </wp:positionV>
                <wp:extent cx="7620" cy="278130"/>
                <wp:effectExtent l="48895" t="0" r="57785" b="7620"/>
                <wp:wrapNone/>
                <wp:docPr id="40" name="直接箭头连接符 40"/>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85pt;margin-top:3.35pt;height:21.9pt;width:0.6pt;z-index:251670528;mso-width-relative:page;mso-height-relative:page;" filled="f" stroked="t" coordsize="21600,21600" o:gfxdata="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AhHDcF1wAAAAgBAAAPAAAAAAAAAAEA&#10;IAAAADgAAABkcnMvZG93bnJldi54bWxQSwECFAAUAAAACACHTuJAYDya8P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7456" behindDoc="0" locked="0" layoutInCell="1" allowOverlap="1">
                <wp:simplePos x="0" y="0"/>
                <wp:positionH relativeFrom="column">
                  <wp:posOffset>2865120</wp:posOffset>
                </wp:positionH>
                <wp:positionV relativeFrom="paragraph">
                  <wp:posOffset>73025</wp:posOffset>
                </wp:positionV>
                <wp:extent cx="7620" cy="278130"/>
                <wp:effectExtent l="48895" t="0" r="57785" b="7620"/>
                <wp:wrapNone/>
                <wp:docPr id="41" name="直接箭头连接符 41"/>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6pt;margin-top:5.75pt;height:21.9pt;width:0.6pt;z-index:251667456;mso-width-relative:page;mso-height-relative:page;" filled="f" stroked="t" coordsize="21600,21600" o:gfxdata="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oicHU9cAAAAJAQAADwAAAAAAAAAB&#10;ACAAAAA4AAAAZHJzL2Rvd25yZXYueG1sUEsBAhQAFAAAAAgAh07iQKW67AD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9504" behindDoc="0" locked="0" layoutInCell="1" allowOverlap="1">
                <wp:simplePos x="0" y="0"/>
                <wp:positionH relativeFrom="column">
                  <wp:posOffset>1257935</wp:posOffset>
                </wp:positionH>
                <wp:positionV relativeFrom="paragraph">
                  <wp:posOffset>292735</wp:posOffset>
                </wp:positionV>
                <wp:extent cx="3047365" cy="438150"/>
                <wp:effectExtent l="6350" t="6350" r="13335" b="12700"/>
                <wp:wrapNone/>
                <wp:docPr id="42" name="流程图: 过程 42"/>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05pt;margin-top:23.05pt;height:34.5pt;width:239.95pt;z-index:251669504;v-text-anchor:middle;mso-width-relative:page;mso-height-relative:page;" fillcolor="#FFFFFF" filled="t" stroked="t" coordsize="21600,21600" o:gfxdata="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NL/gPDU&#10;AAAACgEAAA8AAAAAAAAAAQAgAAAAOAAAAGRycy9kb3ducmV2LnhtbFBLAQIUABQAAAAIAIdO4kBa&#10;exO7gAIAAOcEAAAOAAAAAAAAAAEAIAAAADk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1552" behindDoc="0" locked="0" layoutInCell="1" allowOverlap="1">
                <wp:simplePos x="0" y="0"/>
                <wp:positionH relativeFrom="column">
                  <wp:posOffset>2836545</wp:posOffset>
                </wp:positionH>
                <wp:positionV relativeFrom="paragraph">
                  <wp:posOffset>12065</wp:posOffset>
                </wp:positionV>
                <wp:extent cx="7620" cy="278130"/>
                <wp:effectExtent l="48895" t="0" r="57785" b="7620"/>
                <wp:wrapNone/>
                <wp:docPr id="43" name="直接箭头连接符 43"/>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3.35pt;margin-top:0.95pt;height:21.9pt;width:0.6pt;z-index:251671552;mso-width-relative:page;mso-height-relative:page;" filled="f" stroked="t" coordsize="21600,21600" o:gfxdata="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BUIGdz1gAAAAgBAAAPAAAAAAAAAAEA&#10;IAAAADgAAABkcnMvZG93bnJldi54bWxQSwECFAAUAAAACACHTuJAbrFwO/sBAAC1AwAADgAAAAAA&#10;AAABACAAAAA7AQAAZHJzL2Uyb0RvYy54bWxQSwUGAAAAAAYABgBZAQAAqAUAAAAA&#10;">
                <v:fill on="f" focussize="0,0"/>
                <v:stroke weight="1.5pt" color="#000000" miterlimit="8" joinstyle="miter" endarrow="open"/>
                <v:imagedata o:title=""/>
                <o:lock v:ext="edit" aspectratio="f"/>
              </v:shape>
            </w:pict>
          </mc:Fallback>
        </mc:AlternateContent>
      </w:r>
    </w:p>
    <w:p>
      <w:pPr>
        <w:pStyle w:val="20"/>
        <w:spacing w:after="0" w:line="560" w:lineRule="exact"/>
        <w:ind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2576" behindDoc="0" locked="0" layoutInCell="1" allowOverlap="1">
                <wp:simplePos x="0" y="0"/>
                <wp:positionH relativeFrom="column">
                  <wp:posOffset>2817495</wp:posOffset>
                </wp:positionH>
                <wp:positionV relativeFrom="paragraph">
                  <wp:posOffset>339725</wp:posOffset>
                </wp:positionV>
                <wp:extent cx="7620" cy="278130"/>
                <wp:effectExtent l="48895" t="0" r="57785" b="7620"/>
                <wp:wrapNone/>
                <wp:docPr id="44" name="直接箭头连接符 4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85pt;margin-top:26.75pt;height:21.9pt;width:0.6pt;z-index:251672576;mso-width-relative:page;mso-height-relative:page;" filled="f" stroked="t" coordsize="21600,21600" o:gfxdata="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JPsC+XYAAAACQEAAA8AAAAAAAAA&#10;AQAgAAAAOAAAAGRycy9kb3ducmV2LnhtbFBLAQIUABQAAAAIAIdO4kD2K6KH+wEAALUDAAAOAAAA&#10;AAAAAAEAIAAAAD0BAABkcnMvZTJvRG9jLnhtbFBLBQYAAAAABgAGAFkBAACqBQ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3600" behindDoc="0" locked="0" layoutInCell="1" allowOverlap="1">
                <wp:simplePos x="0" y="0"/>
                <wp:positionH relativeFrom="column">
                  <wp:posOffset>1267460</wp:posOffset>
                </wp:positionH>
                <wp:positionV relativeFrom="paragraph">
                  <wp:posOffset>264795</wp:posOffset>
                </wp:positionV>
                <wp:extent cx="3047365" cy="438150"/>
                <wp:effectExtent l="6350" t="6350" r="13335" b="12700"/>
                <wp:wrapNone/>
                <wp:docPr id="45" name="流程图: 过程 45"/>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8pt;margin-top:20.85pt;height:34.5pt;width:239.95pt;z-index:251673600;v-text-anchor:middle;mso-width-relative:page;mso-height-relative:page;" fillcolor="#FFFFFF" filled="t" stroked="t" coordsize="21600,21600" o:gfxdata="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Io54CPV&#10;AAAACgEAAA8AAAAAAAAAAQAgAAAAOAAAAGRycy9kb3ducmV2LnhtbFBLAQIUABQAAAAIAIdO4kBL&#10;8GPdfwIAAOc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v:textbox>
              </v:shape>
            </w:pict>
          </mc:Fallback>
        </mc:AlternateContent>
      </w:r>
    </w:p>
    <w:p>
      <w:pPr>
        <w:pStyle w:val="20"/>
        <w:spacing w:after="0" w:line="560" w:lineRule="exact"/>
        <w:ind w:left="0" w:leftChars="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4624" behindDoc="0" locked="0" layoutInCell="1" allowOverlap="1">
                <wp:simplePos x="0" y="0"/>
                <wp:positionH relativeFrom="column">
                  <wp:posOffset>1268095</wp:posOffset>
                </wp:positionH>
                <wp:positionV relativeFrom="paragraph">
                  <wp:posOffset>325120</wp:posOffset>
                </wp:positionV>
                <wp:extent cx="3086735" cy="428625"/>
                <wp:effectExtent l="6350" t="6350" r="12065" b="22225"/>
                <wp:wrapNone/>
                <wp:docPr id="46" name="流程图: 过程 4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县抽验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85pt;margin-top:25.6pt;height:33.75pt;width:243.05pt;z-index:251674624;v-text-anchor:middle;mso-width-relative:page;mso-height-relative:page;" fillcolor="#FFFFFF" filled="t" stroked="t" coordsize="21600,21600" o:gfxdata="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tnysw9UA&#10;AAAKAQAADwAAAAAAAAABACAAAAA4AAAAZHJzL2Rvd25yZXYueG1sUEsBAhQAFAAAAAgAh07iQF2i&#10;v2J+AgAA5wQAAA4AAAAAAAAAAQAgAAAAOgEAAGRycy9lMm9Eb2MueG1sUEsFBgAAAAAGAAYAWQEA&#10;ACoGAAAAAA==&#10;">
                <v:fill on="t" focussize="0,0"/>
                <v:stroke weight="1pt" color="#000000" miterlimit="8" joinstyle="miter"/>
                <v:imagedata o:title=""/>
                <o:lock v:ext="edit" aspectratio="f"/>
                <v:textbo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县抽验</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5648" behindDoc="0" locked="0" layoutInCell="1" allowOverlap="1">
                <wp:simplePos x="0" y="0"/>
                <wp:positionH relativeFrom="column">
                  <wp:posOffset>2798445</wp:posOffset>
                </wp:positionH>
                <wp:positionV relativeFrom="paragraph">
                  <wp:posOffset>15875</wp:posOffset>
                </wp:positionV>
                <wp:extent cx="7620" cy="278130"/>
                <wp:effectExtent l="48895" t="0" r="57785" b="7620"/>
                <wp:wrapNone/>
                <wp:docPr id="47" name="直接箭头连接符 47"/>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0.35pt;margin-top:1.25pt;height:21.9pt;width:0.6pt;z-index:251675648;mso-width-relative:page;mso-height-relative:page;" filled="f" stroked="t" coordsize="21600,21600" o:gfxdata="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pyl73tcAAAAIAQAADwAAAAAAAAAB&#10;ACAAAAA4AAAAZHJzL2Rvd25yZXYueG1sUEsBAhQAFAAAAAgAh07iQPimSEz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6672" behindDoc="0" locked="0" layoutInCell="1" allowOverlap="1">
                <wp:simplePos x="0" y="0"/>
                <wp:positionH relativeFrom="column">
                  <wp:posOffset>2781300</wp:posOffset>
                </wp:positionH>
                <wp:positionV relativeFrom="paragraph">
                  <wp:posOffset>92710</wp:posOffset>
                </wp:positionV>
                <wp:extent cx="7620" cy="278130"/>
                <wp:effectExtent l="48895" t="0" r="57785" b="7620"/>
                <wp:wrapNone/>
                <wp:docPr id="48" name="直接箭头连接符 4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19pt;margin-top:7.3pt;height:21.9pt;width:0.6pt;z-index:251676672;mso-width-relative:page;mso-height-relative:page;" filled="f" stroked="t" coordsize="21600,21600" o:gfxdata="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j6SGN9gAAAAJAQAADwAAAAAAAAAB&#10;ACAAAAA4AAAAZHJzL2Rvd25yZXYueG1sUEsBAhQAFAAAAAgAh07iQEwT6h7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7696" behindDoc="0" locked="0" layoutInCell="1" allowOverlap="1">
                <wp:simplePos x="0" y="0"/>
                <wp:positionH relativeFrom="column">
                  <wp:posOffset>1261745</wp:posOffset>
                </wp:positionH>
                <wp:positionV relativeFrom="paragraph">
                  <wp:posOffset>25400</wp:posOffset>
                </wp:positionV>
                <wp:extent cx="3086735" cy="428625"/>
                <wp:effectExtent l="6350" t="6350" r="12065" b="22225"/>
                <wp:wrapNone/>
                <wp:docPr id="49" name="流程图: 过程 49"/>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35pt;margin-top:2pt;height:33.75pt;width:243.05pt;z-index:251677696;v-text-anchor:middle;mso-width-relative:page;mso-height-relative:page;" fillcolor="#FFFFFF" filled="t" stroked="t" coordsize="21600,21600" o:gfxdata="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BYAAABkcnMvUEsBAhQAFAAAAAgAh07iQLULKTzTAAAA&#10;CAEAAA8AAAAAAAAAAQAgAAAAOAAAAGRycy9kb3ducmV2LnhtbFBLAQIUABQAAAAIAIdO4kAUWvi5&#10;fgIAAOcEAAAOAAAAAAAAAAEAIAAAADgBAABkcnMvZTJvRG9jLnhtbFBLBQYAAAAABgAGAFkBAAAo&#10;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v:textbox>
              </v:shape>
            </w:pict>
          </mc:Fallback>
        </mc:AlternateContent>
      </w: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附件5</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农村户用卫生厕所改造示申请书</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u w:val="single"/>
        </w:rPr>
      </w:pPr>
      <w:r>
        <w:rPr>
          <w:rFonts w:hint="eastAsia" w:ascii="宋体" w:hAnsi="宋体" w:eastAsia="仿宋_GB2312" w:cs="宋体"/>
          <w:b w:val="0"/>
          <w:bCs w:val="0"/>
          <w:sz w:val="24"/>
          <w:szCs w:val="24"/>
        </w:rPr>
        <w:t>申请人：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身份证号码</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联系电话</w:t>
      </w:r>
      <w:r>
        <w:rPr>
          <w:rFonts w:hint="eastAsia" w:ascii="宋体" w:hAnsi="宋体" w:eastAsia="仿宋_GB2312" w:cs="宋体"/>
          <w:b w:val="0"/>
          <w:bCs w:val="0"/>
          <w:sz w:val="24"/>
          <w:szCs w:val="24"/>
          <w:u w:val="single"/>
        </w:rPr>
        <w:t xml:space="preserve">           </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申请人地址：</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镇</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村（社区）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社</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本人自愿申请对户用厕所（1处）进行改造（具体项目附后），并承诺自筹资金，改造后粪污处理池外溢物，承诺采取“农用还田/进入生态湿地/进入排污管道/排入水渠河沟/其他”方式处理（在具体处理方式上按申请人指印）。</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附：射洪县农村户用厕所改造工程量清单</w:t>
      </w: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0"/>
        <w:gridCol w:w="4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8"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申请人（签字盖章）：</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村民议事会（理事会）代表签字：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2"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村民委员会审核意见：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960" w:firstLineChars="4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镇人民政府审核意见：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r>
    </w:tbl>
    <w:p>
      <w:pPr>
        <w:spacing w:line="560" w:lineRule="exact"/>
        <w:rPr>
          <w:rFonts w:ascii="宋体" w:hAnsi="宋体" w:eastAsia="仿宋_GB2312" w:cs="宋体"/>
          <w:b w:val="0"/>
          <w:bCs w:val="0"/>
          <w:sz w:val="24"/>
          <w:szCs w:val="24"/>
        </w:rPr>
      </w:pPr>
    </w:p>
    <w:p>
      <w:pPr>
        <w:widowControl/>
        <w:spacing w:line="560" w:lineRule="exact"/>
        <w:jc w:val="center"/>
        <w:textAlignment w:val="center"/>
        <w:rPr>
          <w:rFonts w:hint="eastAsia" w:ascii="宋体" w:hAnsi="宋体" w:eastAsia="方正小标宋简体" w:cs="宋体"/>
          <w:b w:val="0"/>
          <w:bCs w:val="0"/>
          <w:color w:val="000000"/>
          <w:kern w:val="0"/>
          <w:sz w:val="24"/>
          <w:szCs w:val="24"/>
          <w:lang w:bidi="ar"/>
        </w:rPr>
        <w:sectPr>
          <w:footerReference r:id="rId13" w:type="default"/>
          <w:pgSz w:w="11906" w:h="16838"/>
          <w:pgMar w:top="1803" w:right="1440" w:bottom="1803" w:left="1440" w:header="851" w:footer="992" w:gutter="0"/>
          <w:pgNumType w:fmt="decimal"/>
          <w:cols w:space="720" w:num="1"/>
          <w:rtlGutter w:val="0"/>
          <w:docGrid w:type="lines" w:linePitch="312" w:charSpace="0"/>
        </w:sectPr>
      </w:pPr>
    </w:p>
    <w:tbl>
      <w:tblPr>
        <w:tblStyle w:val="21"/>
        <w:tblpPr w:leftFromText="180" w:rightFromText="180" w:vertAnchor="text" w:horzAnchor="page" w:tblpX="1421" w:tblpY="-922"/>
        <w:tblOverlap w:val="never"/>
        <w:tblW w:w="13640" w:type="dxa"/>
        <w:tblInd w:w="0" w:type="dxa"/>
        <w:tblLayout w:type="fixed"/>
        <w:tblCellMar>
          <w:top w:w="0" w:type="dxa"/>
          <w:left w:w="0" w:type="dxa"/>
          <w:bottom w:w="0" w:type="dxa"/>
          <w:right w:w="0" w:type="dxa"/>
        </w:tblCellMar>
      </w:tblPr>
      <w:tblGrid>
        <w:gridCol w:w="1367"/>
        <w:gridCol w:w="1650"/>
        <w:gridCol w:w="2848"/>
        <w:gridCol w:w="3575"/>
        <w:gridCol w:w="1592"/>
        <w:gridCol w:w="1438"/>
        <w:gridCol w:w="1170"/>
      </w:tblGrid>
      <w:tr>
        <w:tblPrEx>
          <w:tblCellMar>
            <w:top w:w="0" w:type="dxa"/>
            <w:left w:w="0" w:type="dxa"/>
            <w:bottom w:w="0" w:type="dxa"/>
            <w:right w:w="0" w:type="dxa"/>
          </w:tblCellMar>
        </w:tblPrEx>
        <w:trPr>
          <w:trHeight w:val="557" w:hRule="atLeast"/>
        </w:trPr>
        <w:tc>
          <w:tcPr>
            <w:tcW w:w="13640" w:type="dxa"/>
            <w:gridSpan w:val="7"/>
            <w:tcBorders>
              <w:top w:val="nil"/>
              <w:left w:val="nil"/>
              <w:bottom w:val="nil"/>
              <w:right w:val="nil"/>
            </w:tcBorders>
            <w:noWrap/>
            <w:tcMar>
              <w:top w:w="12" w:type="dxa"/>
              <w:left w:w="12" w:type="dxa"/>
              <w:right w:w="12" w:type="dxa"/>
            </w:tcMar>
            <w:vAlign w:val="center"/>
          </w:tcPr>
          <w:p>
            <w:pPr>
              <w:widowControl/>
              <w:spacing w:line="560" w:lineRule="exact"/>
              <w:jc w:val="center"/>
              <w:textAlignment w:val="center"/>
              <w:rPr>
                <w:rFonts w:ascii="宋体" w:hAnsi="宋体" w:eastAsia="方正小标宋简体" w:cs="宋体"/>
                <w:b w:val="0"/>
                <w:bCs w:val="0"/>
                <w:color w:val="000000"/>
                <w:sz w:val="24"/>
                <w:szCs w:val="24"/>
              </w:rPr>
            </w:pPr>
            <w:r>
              <w:rPr>
                <w:rFonts w:hint="eastAsia" w:ascii="宋体" w:hAnsi="宋体" w:eastAsia="方正小标宋简体" w:cs="宋体"/>
                <w:b w:val="0"/>
                <w:bCs w:val="0"/>
                <w:color w:val="000000"/>
                <w:kern w:val="0"/>
                <w:sz w:val="24"/>
                <w:szCs w:val="24"/>
                <w:lang w:bidi="ar"/>
              </w:rPr>
              <w:t>射洪</w:t>
            </w:r>
            <w:r>
              <w:rPr>
                <w:rFonts w:hint="eastAsia" w:ascii="宋体" w:hAnsi="宋体" w:eastAsia="方正小标宋简体" w:cs="宋体"/>
                <w:b w:val="0"/>
                <w:bCs w:val="0"/>
                <w:color w:val="000000"/>
                <w:kern w:val="0"/>
                <w:sz w:val="24"/>
                <w:szCs w:val="24"/>
                <w:lang w:val="en-US" w:eastAsia="zh-CN" w:bidi="ar"/>
              </w:rPr>
              <w:t>市</w:t>
            </w:r>
            <w:r>
              <w:rPr>
                <w:rFonts w:hint="eastAsia" w:ascii="宋体" w:hAnsi="宋体" w:eastAsia="方正小标宋简体" w:cs="宋体"/>
                <w:b w:val="0"/>
                <w:bCs w:val="0"/>
                <w:color w:val="000000"/>
                <w:kern w:val="0"/>
                <w:sz w:val="24"/>
                <w:szCs w:val="24"/>
                <w:lang w:bidi="ar"/>
              </w:rPr>
              <w:t>农村户用卫生厕所改造指导工程量清单</w:t>
            </w:r>
          </w:p>
        </w:tc>
      </w:tr>
      <w:tr>
        <w:tblPrEx>
          <w:tblCellMar>
            <w:top w:w="0" w:type="dxa"/>
            <w:left w:w="0" w:type="dxa"/>
            <w:bottom w:w="0" w:type="dxa"/>
            <w:right w:w="0" w:type="dxa"/>
          </w:tblCellMar>
        </w:tblPrEx>
        <w:trPr>
          <w:trHeight w:val="544"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改造范围及内容</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主要建设项目内容</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建设标准</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预算价格（元）</w:t>
            </w: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工程量</w:t>
            </w: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结算价格</w:t>
            </w:r>
          </w:p>
        </w:tc>
      </w:tr>
      <w:tr>
        <w:tblPrEx>
          <w:tblCellMar>
            <w:top w:w="0" w:type="dxa"/>
            <w:left w:w="0" w:type="dxa"/>
            <w:bottom w:w="0" w:type="dxa"/>
            <w:right w:w="0" w:type="dxa"/>
          </w:tblCellMar>
        </w:tblPrEx>
        <w:trPr>
          <w:trHeight w:val="350" w:hRule="atLeast"/>
        </w:trPr>
        <w:tc>
          <w:tcPr>
            <w:tcW w:w="1367"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改厕</w:t>
            </w: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厕所(1处)</w:t>
            </w: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新建厕所(</w:t>
            </w:r>
            <w:r>
              <w:rPr>
                <w:rFonts w:hint="eastAsia" w:ascii="宋体" w:hAnsi="宋体" w:cs="宋体"/>
                <w:b w:val="0"/>
                <w:bCs w:val="0"/>
                <w:color w:val="000000"/>
                <w:kern w:val="0"/>
                <w:sz w:val="24"/>
                <w:szCs w:val="24"/>
                <w:lang w:bidi="ar"/>
              </w:rPr>
              <w:t>新砌12墙</w:t>
            </w:r>
            <w:r>
              <w:rPr>
                <w:rFonts w:hint="eastAsia" w:ascii="宋体" w:hAnsi="宋体" w:eastAsia="宋体" w:cs="宋体"/>
                <w:b w:val="0"/>
                <w:bCs w:val="0"/>
                <w:color w:val="000000"/>
                <w:kern w:val="0"/>
                <w:sz w:val="24"/>
                <w:szCs w:val="24"/>
                <w:lang w:bidi="ar"/>
              </w:rPr>
              <w:t>)</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地面≥1.2</w:t>
            </w:r>
            <w:r>
              <w:rPr>
                <w:rFonts w:hint="eastAsia" w:ascii="宋体" w:hAnsi="宋体" w:eastAsia="宋体" w:cs="宋体"/>
                <w:b w:val="0"/>
                <w:bCs w:val="0"/>
                <w:color w:val="000000"/>
                <w:kern w:val="0"/>
                <w:sz w:val="24"/>
                <w:szCs w:val="24"/>
                <w:lang w:bidi="ar"/>
              </w:rPr>
              <w:t>m</w:t>
            </w:r>
            <w:r>
              <w:rPr>
                <w:rFonts w:hint="eastAsia" w:ascii="宋体" w:hAnsi="宋体" w:eastAsia="宋体" w:cs="宋体"/>
                <w:b w:val="0"/>
                <w:bCs w:val="0"/>
                <w:color w:val="000000"/>
                <w:kern w:val="0"/>
                <w:sz w:val="24"/>
                <w:szCs w:val="24"/>
                <w:vertAlign w:val="superscript"/>
                <w:lang w:bidi="ar"/>
              </w:rPr>
              <w:t>2</w:t>
            </w:r>
          </w:p>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w:t>
            </w:r>
            <w:r>
              <w:rPr>
                <w:rFonts w:hint="eastAsia" w:ascii="宋体" w:hAnsi="宋体" w:eastAsia="宋体" w:cs="宋体"/>
                <w:b w:val="0"/>
                <w:bCs w:val="0"/>
                <w:color w:val="000000"/>
                <w:kern w:val="0"/>
                <w:sz w:val="24"/>
                <w:szCs w:val="24"/>
                <w:lang w:bidi="ar"/>
              </w:rPr>
              <w:t>长(1.5)*宽(1.2)*高(2)</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65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原墙体加高≥</w:t>
            </w:r>
            <w:r>
              <w:rPr>
                <w:rFonts w:hint="eastAsia" w:ascii="宋体" w:hAnsi="宋体" w:eastAsia="宋体" w:cs="宋体"/>
                <w:b w:val="0"/>
                <w:bCs w:val="0"/>
                <w:color w:val="000000"/>
                <w:kern w:val="0"/>
                <w:sz w:val="24"/>
                <w:szCs w:val="24"/>
                <w:lang w:bidi="ar"/>
              </w:rPr>
              <w:t>(2)</w:t>
            </w:r>
            <w:r>
              <w:rPr>
                <w:rFonts w:hint="eastAsia" w:ascii="宋体" w:hAnsi="宋体" w:cs="宋体"/>
                <w:b w:val="0"/>
                <w:bCs w:val="0"/>
                <w:color w:val="000000"/>
                <w:kern w:val="0"/>
                <w:sz w:val="24"/>
                <w:szCs w:val="24"/>
                <w:lang w:bidi="ar"/>
              </w:rPr>
              <w:t>m</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蹲便器(含安装)</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带水封蹲便器</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lef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566"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化粪池</w:t>
            </w:r>
            <w:r>
              <w:rPr>
                <w:rFonts w:hint="eastAsia" w:ascii="宋体" w:hAnsi="宋体" w:eastAsia="宋体" w:cs="宋体"/>
                <w:b w:val="0"/>
                <w:bCs w:val="0"/>
                <w:color w:val="000000"/>
                <w:kern w:val="0"/>
                <w:sz w:val="24"/>
                <w:szCs w:val="24"/>
                <w:lang w:bidi="ar"/>
              </w:rPr>
              <w:br w:type="textWrapping"/>
            </w:r>
            <w:r>
              <w:rPr>
                <w:rFonts w:hint="eastAsia" w:ascii="宋体" w:hAnsi="宋体" w:eastAsia="宋体" w:cs="宋体"/>
                <w:b w:val="0"/>
                <w:bCs w:val="0"/>
                <w:color w:val="000000"/>
                <w:kern w:val="0"/>
                <w:sz w:val="24"/>
                <w:szCs w:val="24"/>
                <w:lang w:bidi="ar"/>
              </w:rPr>
              <w:t>(1处)</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旧粪坑盖板(含取粪口)</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根据粪口大小，现浇厚(0.05)</w:t>
            </w:r>
            <w:r>
              <w:rPr>
                <w:rFonts w:hint="eastAsia" w:ascii="宋体" w:hAnsi="宋体" w:cs="宋体"/>
                <w:b w:val="0"/>
                <w:bCs w:val="0"/>
                <w:color w:val="000000"/>
                <w:kern w:val="0"/>
                <w:sz w:val="24"/>
                <w:szCs w:val="24"/>
                <w:lang w:bidi="ar"/>
              </w:rPr>
              <w:t>m活动盖板</w:t>
            </w:r>
            <w:r>
              <w:rPr>
                <w:rFonts w:hint="eastAsia" w:ascii="宋体" w:hAnsi="宋体" w:eastAsia="宋体" w:cs="宋体"/>
                <w:b w:val="0"/>
                <w:bCs w:val="0"/>
                <w:color w:val="000000"/>
                <w:kern w:val="0"/>
                <w:sz w:val="24"/>
                <w:szCs w:val="24"/>
                <w:lang w:bidi="ar"/>
              </w:rPr>
              <w:t>,浇筑取粪口盖板(0.5*0.5)</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三格化粪池(含安装)</w:t>
            </w:r>
          </w:p>
          <w:p>
            <w:pPr>
              <w:pStyle w:val="20"/>
              <w:spacing w:after="0" w:line="320" w:lineRule="exact"/>
              <w:ind w:left="0" w:leftChars="0" w:firstLine="0" w:firstLineChars="0"/>
              <w:rPr>
                <w:rFonts w:ascii="宋体" w:hAnsi="宋体" w:cs="宋体"/>
                <w:b w:val="0"/>
                <w:bCs w:val="0"/>
                <w:color w:val="0000FF"/>
                <w:sz w:val="24"/>
                <w:szCs w:val="24"/>
              </w:rPr>
            </w:pPr>
            <w:r>
              <w:rPr>
                <w:rFonts w:hint="eastAsia" w:ascii="宋体" w:hAnsi="宋体" w:eastAsia="宋体" w:cs="宋体"/>
                <w:b w:val="0"/>
                <w:bCs w:val="0"/>
                <w:color w:val="000000"/>
                <w:kern w:val="0"/>
                <w:sz w:val="24"/>
                <w:szCs w:val="24"/>
                <w:lang w:bidi="ar"/>
              </w:rPr>
              <w:t>长(2)*宽(1.2)*深(1.2)</w:t>
            </w:r>
            <w:r>
              <w:rPr>
                <w:rFonts w:hint="eastAsia" w:ascii="宋体" w:hAnsi="宋体" w:cs="宋体"/>
                <w:b w:val="0"/>
                <w:bCs w:val="0"/>
                <w:color w:val="000000"/>
                <w:kern w:val="0"/>
                <w:sz w:val="24"/>
                <w:szCs w:val="24"/>
                <w:lang w:bidi="ar"/>
              </w:rPr>
              <w:t>m</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PE材质</w:t>
            </w:r>
          </w:p>
        </w:tc>
        <w:tc>
          <w:tcPr>
            <w:tcW w:w="1592" w:type="dxa"/>
            <w:vMerge w:val="restart"/>
            <w:tcBorders>
              <w:top w:val="single" w:color="000000" w:sz="4" w:space="0"/>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55"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玻璃钢材质</w:t>
            </w:r>
          </w:p>
        </w:tc>
        <w:tc>
          <w:tcPr>
            <w:tcW w:w="1592" w:type="dxa"/>
            <w:vMerge w:val="continue"/>
            <w:tcBorders>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混</w:t>
            </w:r>
            <w:r>
              <w:rPr>
                <w:rFonts w:hint="eastAsia" w:ascii="宋体" w:hAnsi="宋体" w:cs="宋体"/>
                <w:b w:val="0"/>
                <w:bCs w:val="0"/>
                <w:color w:val="000000"/>
                <w:kern w:val="0"/>
                <w:sz w:val="24"/>
                <w:szCs w:val="24"/>
                <w:lang w:eastAsia="zh-CN" w:bidi="ar"/>
              </w:rPr>
              <w:t>凝</w:t>
            </w:r>
            <w:r>
              <w:rPr>
                <w:rFonts w:hint="eastAsia" w:ascii="宋体" w:hAnsi="宋体" w:eastAsia="宋体" w:cs="宋体"/>
                <w:b w:val="0"/>
                <w:bCs w:val="0"/>
                <w:color w:val="000000"/>
                <w:kern w:val="0"/>
                <w:sz w:val="24"/>
                <w:szCs w:val="24"/>
                <w:lang w:bidi="ar"/>
              </w:rPr>
              <w:t>土浇筑+砖砌</w:t>
            </w:r>
          </w:p>
        </w:tc>
        <w:tc>
          <w:tcPr>
            <w:tcW w:w="1592" w:type="dxa"/>
            <w:vMerge w:val="continue"/>
            <w:tcBorders>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197"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沼气池</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新建</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2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修缮</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3575"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9440" w:type="dxa"/>
            <w:gridSpan w:val="4"/>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合计</w:t>
            </w: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现场规划人员签字:</w:t>
            </w:r>
          </w:p>
        </w:tc>
      </w:tr>
      <w:tr>
        <w:tblPrEx>
          <w:tblCellMar>
            <w:top w:w="0" w:type="dxa"/>
            <w:left w:w="0" w:type="dxa"/>
            <w:bottom w:w="0" w:type="dxa"/>
            <w:right w:w="0" w:type="dxa"/>
          </w:tblCellMar>
        </w:tblPrEx>
        <w:trPr>
          <w:trHeight w:val="471"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验收人员签字:</w:t>
            </w:r>
          </w:p>
        </w:tc>
      </w:tr>
    </w:tbl>
    <w:p>
      <w:pPr>
        <w:tabs>
          <w:tab w:val="left" w:pos="5745"/>
        </w:tabs>
        <w:ind w:left="1520" w:leftChars="200" w:hanging="960" w:hangingChars="400"/>
        <w:jc w:val="left"/>
        <w:rPr>
          <w:rFonts w:ascii="宋体" w:hAnsi="宋体" w:eastAsia="仿宋" w:cs="宋体"/>
          <w:b w:val="0"/>
          <w:bCs w:val="0"/>
          <w:sz w:val="24"/>
          <w:szCs w:val="24"/>
        </w:rPr>
      </w:pPr>
    </w:p>
    <w:p>
      <w:pPr>
        <w:tabs>
          <w:tab w:val="left" w:pos="5745"/>
        </w:tabs>
        <w:ind w:left="1520" w:leftChars="200" w:hanging="960" w:hangingChars="400"/>
        <w:jc w:val="left"/>
        <w:rPr>
          <w:rFonts w:ascii="宋体" w:hAnsi="宋体" w:eastAsia="仿宋" w:cs="宋体"/>
          <w:b w:val="0"/>
          <w:bCs w:val="0"/>
          <w:sz w:val="24"/>
          <w:szCs w:val="24"/>
        </w:rPr>
      </w:pPr>
      <w:r>
        <w:rPr>
          <w:rFonts w:hint="eastAsia" w:ascii="宋体" w:hAnsi="宋体" w:eastAsia="仿宋" w:cs="宋体"/>
          <w:b w:val="0"/>
          <w:bCs w:val="0"/>
          <w:sz w:val="24"/>
          <w:szCs w:val="24"/>
        </w:rPr>
        <w:t>备注：1.实施范围：全县各农村行政村（社区）农户。</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2.单户改造：改厕部分纳入补助工程量的，政府按照验收结算金额补助不超过1000元；</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3.群众自行增加工程项目、增加工程量或提高标准，单项或总额超过上述补助范围和金额的，由群众自筹承担。</w:t>
      </w:r>
    </w:p>
    <w:p>
      <w:pPr>
        <w:pStyle w:val="20"/>
        <w:spacing w:after="0" w:line="320" w:lineRule="exact"/>
        <w:ind w:left="0" w:leftChars="0" w:firstLine="1200" w:firstLineChars="500"/>
        <w:rPr>
          <w:rFonts w:hint="eastAsia" w:ascii="宋体" w:hAnsi="宋体" w:eastAsia="仿宋" w:cs="宋体"/>
          <w:b w:val="0"/>
          <w:bCs w:val="0"/>
          <w:sz w:val="24"/>
          <w:szCs w:val="24"/>
        </w:rPr>
        <w:sectPr>
          <w:footerReference r:id="rId14" w:type="default"/>
          <w:pgSz w:w="16838" w:h="11906" w:orient="landscape"/>
          <w:pgMar w:top="1440" w:right="1803" w:bottom="1440" w:left="1803" w:header="851" w:footer="992" w:gutter="0"/>
          <w:pgNumType w:fmt="decimal"/>
          <w:cols w:space="720" w:num="1"/>
          <w:rtlGutter w:val="0"/>
          <w:docGrid w:type="lines" w:linePitch="322" w:charSpace="0"/>
        </w:sectPr>
      </w:pPr>
      <w:r>
        <w:rPr>
          <w:rFonts w:hint="eastAsia" w:ascii="宋体" w:hAnsi="宋体" w:eastAsia="仿宋" w:cs="宋体"/>
          <w:b w:val="0"/>
          <w:bCs w:val="0"/>
          <w:sz w:val="24"/>
          <w:szCs w:val="24"/>
        </w:rPr>
        <w:t>4.本申请一式三份，镇、村、农户签字盖章后各存一份备查。</w:t>
      </w:r>
    </w:p>
    <w:p>
      <w:pPr>
        <w:spacing w:line="560" w:lineRule="exact"/>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6</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r>
        <w:rPr>
          <w:rFonts w:hint="eastAsia" w:ascii="方正小标宋简体" w:hAnsi="方正小标宋简体" w:eastAsia="方正小标宋简体" w:cs="方正小标宋简体"/>
          <w:sz w:val="24"/>
          <w:szCs w:val="24"/>
          <w:lang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eastAsia="zh-CN"/>
        </w:rPr>
        <w:t>农村人居环境整治“污水革命”工作方案</w:t>
      </w:r>
    </w:p>
    <w:p>
      <w:pPr>
        <w:pageBreakBefore w:val="0"/>
        <w:widowControl w:val="0"/>
        <w:kinsoku/>
        <w:wordWrap/>
        <w:overflowPunct/>
        <w:topLinePunct w:val="0"/>
        <w:autoSpaceDE/>
        <w:autoSpaceDN/>
        <w:bidi w:val="0"/>
        <w:adjustRightInd/>
        <w:snapToGrid w:val="0"/>
        <w:spacing w:line="56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改善农村人居环境，建设美丽宜居乡村是实施乡村振兴战略的重要任务，是促进城乡统筹、全面建成小康社会的重要抓手，事关生态环境全面改善，事关广大农民根本福祉，事关农村社会文明和谐。</w:t>
      </w:r>
      <w:r>
        <w:rPr>
          <w:rFonts w:hint="eastAsia" w:ascii="仿宋_GB2312" w:hAnsi="仿宋_GB2312" w:eastAsia="仿宋_GB2312" w:cs="仿宋_GB2312"/>
          <w:sz w:val="24"/>
          <w:szCs w:val="24"/>
          <w:lang w:eastAsia="zh-CN"/>
        </w:rPr>
        <w:t>为进一步改善我县农村人居环境，提升污水治理水平，结合我县实际情况，特制定本方案。</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2" w:name="_Toc23673"/>
      <w:bookmarkStart w:id="3" w:name="_Toc8969_WPSOffice_Level2"/>
      <w:r>
        <w:rPr>
          <w:rFonts w:hint="eastAsia" w:ascii="黑体" w:hAnsi="黑体" w:eastAsia="黑体" w:cs="黑体"/>
          <w:sz w:val="24"/>
          <w:szCs w:val="24"/>
          <w:lang w:val="en-US" w:eastAsia="zh-CN"/>
        </w:rPr>
        <w:t>一、指导思想</w:t>
      </w:r>
      <w:bookmarkEnd w:id="2"/>
      <w:bookmarkEnd w:id="3"/>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习近平新时代中国特色社会主义思想为指导，全面贯彻党的十九大精神，紧紧围绕党中央实施“乡村振兴战略”和省委、市委、县委重大决策部署，坚持农业农村优先发展，坚持绿水青山就是金山银山，顺应广大农民过上美好生活的期待，统筹城乡发展，统筹生产生活生态，以建设美丽宜居村庄为导向，以污水治理为主攻方向，加快补齐农村环境突出短板，不断优化美化农村人居环境，实现乡村振兴。</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4" w:name="_Toc19417"/>
      <w:bookmarkStart w:id="5" w:name="_Toc1131_WPSOffice_Level2"/>
      <w:r>
        <w:rPr>
          <w:rFonts w:hint="eastAsia" w:ascii="黑体" w:hAnsi="黑体" w:eastAsia="黑体" w:cs="黑体"/>
          <w:sz w:val="24"/>
          <w:szCs w:val="24"/>
          <w:lang w:val="en-US" w:eastAsia="zh-CN"/>
        </w:rPr>
        <w:t>二、基本原则</w:t>
      </w:r>
      <w:bookmarkEnd w:id="4"/>
      <w:bookmarkEnd w:id="5"/>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——因地制宜，分类指导。根据地理、民俗、经济水平和农民期盼，科学确定</w:t>
      </w:r>
      <w:r>
        <w:rPr>
          <w:rFonts w:hint="eastAsia" w:ascii="仿宋_GB2312" w:hAnsi="仿宋_GB2312" w:eastAsia="仿宋_GB2312" w:cs="仿宋_GB2312"/>
          <w:sz w:val="24"/>
          <w:szCs w:val="24"/>
          <w:lang w:eastAsia="zh-CN"/>
        </w:rPr>
        <w:t>我县</w:t>
      </w:r>
      <w:r>
        <w:rPr>
          <w:rFonts w:hint="eastAsia" w:ascii="仿宋_GB2312" w:hAnsi="仿宋_GB2312" w:eastAsia="仿宋_GB2312" w:cs="仿宋_GB2312"/>
          <w:sz w:val="24"/>
          <w:szCs w:val="24"/>
        </w:rPr>
        <w:t>整治目标，既尽力而为又量力而行，集中力量解决突出问题</w:t>
      </w:r>
      <w:r>
        <w:rPr>
          <w:rFonts w:hint="eastAsia" w:ascii="仿宋_GB2312" w:hAnsi="仿宋_GB2312" w:eastAsia="仿宋_GB2312" w:cs="仿宋_GB2312"/>
          <w:sz w:val="24"/>
          <w:szCs w:val="24"/>
          <w:lang w:eastAsia="zh-CN"/>
        </w:rPr>
        <w:t>。同时根据</w:t>
      </w:r>
      <w:r>
        <w:rPr>
          <w:rFonts w:hint="eastAsia" w:ascii="仿宋_GB2312" w:hAnsi="仿宋_GB2312" w:eastAsia="仿宋_GB2312" w:cs="仿宋_GB2312"/>
          <w:sz w:val="24"/>
          <w:szCs w:val="24"/>
        </w:rPr>
        <w:t>人居环境整治要求和实际需要合理确定建设整治措施</w:t>
      </w:r>
      <w:r>
        <w:rPr>
          <w:rFonts w:hint="eastAsia" w:ascii="仿宋_GB2312" w:hAnsi="仿宋_GB2312" w:eastAsia="仿宋_GB2312" w:cs="仿宋_GB2312"/>
          <w:sz w:val="24"/>
          <w:szCs w:val="24"/>
          <w:lang w:eastAsia="zh-CN"/>
        </w:rPr>
        <w:t>，优先采用人工湿地、一体化设施等</w:t>
      </w:r>
      <w:r>
        <w:rPr>
          <w:rFonts w:hint="eastAsia" w:ascii="仿宋_GB2312" w:hAnsi="仿宋_GB2312" w:eastAsia="仿宋_GB2312" w:cs="仿宋_GB2312"/>
          <w:sz w:val="24"/>
          <w:szCs w:val="24"/>
          <w:lang w:val="en-US" w:eastAsia="zh-CN"/>
        </w:rPr>
        <w:t>投资节省、管理简捷</w:t>
      </w:r>
      <w:r>
        <w:rPr>
          <w:rFonts w:hint="eastAsia" w:ascii="仿宋_GB2312" w:hAnsi="仿宋_GB2312" w:eastAsia="仿宋_GB2312" w:cs="仿宋_GB2312"/>
          <w:sz w:val="24"/>
          <w:szCs w:val="24"/>
          <w:lang w:eastAsia="zh-CN"/>
        </w:rPr>
        <w:t>的污水处理工艺。</w:t>
      </w:r>
    </w:p>
    <w:p>
      <w:pPr>
        <w:keepNext w:val="0"/>
        <w:keepLines w:val="0"/>
        <w:pageBreakBefore w:val="0"/>
        <w:widowControl/>
        <w:kinsoku/>
        <w:wordWrap/>
        <w:overflowPunct/>
        <w:topLinePunct w:val="0"/>
        <w:autoSpaceDE/>
        <w:autoSpaceDN/>
        <w:bidi w:val="0"/>
        <w:adjustRightInd w:val="0"/>
        <w:snapToGrid w:val="0"/>
        <w:spacing w:line="336" w:lineRule="auto"/>
        <w:ind w:firstLine="480" w:firstLineChars="200"/>
        <w:jc w:val="left"/>
        <w:textAlignment w:val="auto"/>
        <w:rPr>
          <w:rFonts w:hint="eastAsia" w:eastAsia="仿宋_GB2312" w:cs="宋体"/>
          <w:color w:val="000000"/>
          <w:kern w:val="0"/>
          <w:sz w:val="24"/>
          <w:szCs w:val="24"/>
        </w:rPr>
      </w:pPr>
      <w:r>
        <w:rPr>
          <w:rFonts w:hint="eastAsia" w:eastAsia="仿宋_GB2312"/>
          <w:color w:val="000000"/>
          <w:sz w:val="24"/>
          <w:szCs w:val="24"/>
        </w:rPr>
        <w:t>——</w:t>
      </w:r>
      <w:r>
        <w:rPr>
          <w:rFonts w:hint="eastAsia" w:hAnsi="Informal Roman" w:eastAsia="仿宋_GB2312"/>
          <w:color w:val="000000"/>
          <w:sz w:val="24"/>
          <w:szCs w:val="24"/>
        </w:rPr>
        <w:t>示范带动，统筹推进。</w:t>
      </w:r>
      <w:r>
        <w:rPr>
          <w:rFonts w:hint="eastAsia" w:hAnsi="Informal Roman" w:eastAsia="仿宋_GB2312"/>
          <w:color w:val="000000"/>
          <w:sz w:val="24"/>
          <w:szCs w:val="24"/>
          <w:lang w:eastAsia="zh-CN"/>
        </w:rPr>
        <w:t>在</w:t>
      </w:r>
      <w:r>
        <w:rPr>
          <w:rFonts w:hint="eastAsia" w:hAnsi="Informal Roman" w:eastAsia="仿宋_GB2312" w:cs="宋体"/>
          <w:color w:val="000000"/>
          <w:kern w:val="0"/>
          <w:sz w:val="24"/>
          <w:szCs w:val="24"/>
        </w:rPr>
        <w:t>学习借鉴</w:t>
      </w:r>
      <w:r>
        <w:rPr>
          <w:rFonts w:hint="eastAsia" w:hAnsi="Informal Roman" w:eastAsia="仿宋_GB2312" w:cs="宋体"/>
          <w:color w:val="000000"/>
          <w:kern w:val="0"/>
          <w:sz w:val="24"/>
          <w:szCs w:val="24"/>
          <w:lang w:eastAsia="zh-CN"/>
        </w:rPr>
        <w:t>其他地方先进经验的基础上，以示范点</w:t>
      </w:r>
      <w:r>
        <w:rPr>
          <w:rFonts w:hint="eastAsia" w:hAnsi="Informal Roman" w:eastAsia="仿宋_GB2312" w:cs="宋体"/>
          <w:color w:val="000000"/>
          <w:kern w:val="0"/>
          <w:sz w:val="24"/>
          <w:szCs w:val="24"/>
        </w:rPr>
        <w:t>探索</w:t>
      </w:r>
      <w:r>
        <w:rPr>
          <w:rFonts w:hint="eastAsia" w:hAnsi="Informal Roman" w:eastAsia="仿宋_GB2312" w:cs="宋体"/>
          <w:color w:val="000000"/>
          <w:kern w:val="0"/>
          <w:sz w:val="24"/>
          <w:szCs w:val="24"/>
          <w:lang w:eastAsia="zh-CN"/>
        </w:rPr>
        <w:t>、</w:t>
      </w:r>
      <w:r>
        <w:rPr>
          <w:rFonts w:hint="eastAsia" w:hAnsi="Informal Roman" w:eastAsia="仿宋_GB2312" w:cs="宋体"/>
          <w:color w:val="000000"/>
          <w:kern w:val="0"/>
          <w:sz w:val="24"/>
          <w:szCs w:val="24"/>
        </w:rPr>
        <w:t>积累</w:t>
      </w:r>
      <w:r>
        <w:rPr>
          <w:rFonts w:hint="eastAsia" w:hAnsi="Informal Roman" w:eastAsia="仿宋_GB2312" w:cs="宋体"/>
          <w:color w:val="000000"/>
          <w:kern w:val="0"/>
          <w:sz w:val="24"/>
          <w:szCs w:val="24"/>
          <w:lang w:eastAsia="zh-CN"/>
        </w:rPr>
        <w:t>的</w:t>
      </w:r>
      <w:r>
        <w:rPr>
          <w:rFonts w:hint="eastAsia" w:hAnsi="Informal Roman" w:eastAsia="仿宋_GB2312" w:cs="宋体"/>
          <w:color w:val="000000"/>
          <w:kern w:val="0"/>
          <w:sz w:val="24"/>
          <w:szCs w:val="24"/>
        </w:rPr>
        <w:t>经验，全域推进</w:t>
      </w:r>
      <w:r>
        <w:rPr>
          <w:rFonts w:hint="eastAsia" w:hAnsi="Informal Roman" w:eastAsia="仿宋_GB2312" w:cs="宋体"/>
          <w:color w:val="000000"/>
          <w:kern w:val="0"/>
          <w:sz w:val="24"/>
          <w:szCs w:val="24"/>
          <w:lang w:eastAsia="zh-CN"/>
        </w:rPr>
        <w:t>农村污水治理工作</w:t>
      </w:r>
      <w:r>
        <w:rPr>
          <w:rFonts w:hint="eastAsia" w:hAnsi="Informal Roman" w:eastAsia="仿宋_GB2312" w:cs="宋体"/>
          <w:color w:val="000000"/>
          <w:kern w:val="0"/>
          <w:sz w:val="24"/>
          <w:szCs w:val="24"/>
        </w:rPr>
        <w:t>，带动</w:t>
      </w:r>
      <w:r>
        <w:rPr>
          <w:rFonts w:hint="eastAsia" w:hAnsi="Informal Roman" w:eastAsia="仿宋_GB2312" w:cs="宋体"/>
          <w:color w:val="000000"/>
          <w:kern w:val="0"/>
          <w:sz w:val="24"/>
          <w:szCs w:val="24"/>
          <w:lang w:eastAsia="zh-CN"/>
        </w:rPr>
        <w:t>农村环境质量</w:t>
      </w:r>
      <w:r>
        <w:rPr>
          <w:rFonts w:hint="eastAsia" w:hAnsi="Informal Roman" w:eastAsia="仿宋_GB2312" w:cs="宋体"/>
          <w:color w:val="000000"/>
          <w:kern w:val="0"/>
          <w:sz w:val="24"/>
          <w:szCs w:val="24"/>
        </w:rPr>
        <w:t>整体提升。</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三、目标任务</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2019年全面启动全县21个镇农村污水治理工作，力争2020年50%的行政村生活污水得到有效处理。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四、整治模式和排放标准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（一）整治模式</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eastAsia="仿宋_GB2312" w:cs="Times New Roman"/>
          <w:color w:val="000000"/>
          <w:kern w:val="2"/>
          <w:sz w:val="24"/>
          <w:szCs w:val="24"/>
          <w:lang w:val="en-US" w:eastAsia="zh-CN" w:bidi="ar-SA"/>
        </w:rPr>
        <w:t>一般区域，污水处理以“厌氧+人工湿地”工艺为主；在环境容量低、区域敏感地方，以一体化污水处理工艺为主。</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一类污水排放标准。居民适度分散或集中安置区，种植业发达，距离河流、小溪较远。居民适度分散的卫生间污水经沼气池或化粪池处理后，用于农作物灌溉，厨房、洗衣等生活废水经沉淀、人工湿地后排放，参照执行《城镇污水处理厂污染物排放标准》（GB18918-2002）三级标准；集中安置区的污水进入大型三格化粪池，充分灌溉农作物，余下的污水再经过厌氧、人工湿地后排放，参照执行《城镇污水处理厂污染物排放标准》（GB18918-2002）三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二类污水排放标准。居民适度分散，种植业发达，排入小溪的。卫生间污水经沼气池或化粪池处理后，用于农作物灌溉，厨房、洗衣等生活废水经沉淀、厌氧、人工湿地（氧化塘）后排放，参照执行《城镇污水处理厂污染物排放标准》（GB18918-2002）二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三类污水排放标准。居民集中，种植业欠发达，污水排入我县18条纳入河长制管理的河流，采取分散处理和集中处理相结合，能集中收集的废水采取沉淀、厌氧、微动力一体化污水处理设施处理后排放，参照执行《城镇污水处理厂污染物排放标准》（GB18918-2002）一级B标准,有条件的可执行一级A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待《四川省农村生活污水处理排放标准》出台后，按照该标准执行。</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五、保障措施</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（一）加强组织领导。</w:t>
      </w:r>
      <w:r>
        <w:rPr>
          <w:rFonts w:hint="eastAsia" w:ascii="仿宋_GB2312" w:hAnsi="仿宋_GB2312" w:eastAsia="仿宋_GB2312" w:cs="仿宋_GB2312"/>
          <w:sz w:val="24"/>
          <w:szCs w:val="24"/>
          <w:lang w:val="en-US" w:eastAsia="zh-CN"/>
        </w:rPr>
        <w:t>构建县、镇、村三级联动体系，跨部门联动管理机制，县直各有关部门要加强协调配合，整合资源、共享信息，形成工作合力，落实各方责任，建立健全农村生态环境管理、环保设施运行维护机制。各镇人民政府作为农村人居环境整治的实施主体和责任主体，要制定辖区农村人居环境整治污水治理方案，认真制定并逐步完善农村人居环境整治政策措施和实施办法，推动各项工作有序开展。</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（二）加强技术指导。</w:t>
      </w:r>
      <w:r>
        <w:rPr>
          <w:rFonts w:hint="eastAsia" w:eastAsia="仿宋_GB2312" w:cs="Times New Roman"/>
          <w:color w:val="000000"/>
          <w:kern w:val="2"/>
          <w:sz w:val="24"/>
          <w:szCs w:val="24"/>
          <w:lang w:val="en-US" w:eastAsia="zh-CN" w:bidi="ar-SA"/>
        </w:rPr>
        <w:t>县生态环境局作为农村污水治理的牵头部门，要加强农村污水治理过程中技术指导，确保全县污水治理成效。</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（三）加强运维管理。</w:t>
      </w:r>
      <w:r>
        <w:rPr>
          <w:rFonts w:hint="eastAsia" w:ascii="仿宋_GB2312" w:hAnsi="仿宋_GB2312" w:eastAsia="仿宋_GB2312" w:cs="仿宋_GB2312"/>
          <w:sz w:val="24"/>
          <w:szCs w:val="24"/>
          <w:lang w:eastAsia="zh-CN"/>
        </w:rPr>
        <w:t>由各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政府负责制定污水处理设施日常管理、经费保障等运维措施，各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政府负责监督日常运行，村委会负责日常管理。</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ascii="仿宋_GB2312" w:hAnsi="仿宋_GB2312" w:eastAsia="仿宋_GB2312" w:cs="仿宋_GB2312"/>
          <w:sz w:val="24"/>
          <w:szCs w:val="24"/>
        </w:rPr>
      </w:pPr>
      <w:r>
        <w:rPr>
          <w:rFonts w:hint="eastAsia" w:ascii="楷体_GB2312" w:hAnsi="楷体_GB2312" w:eastAsia="楷体_GB2312" w:cs="楷体_GB2312"/>
          <w:color w:val="000000"/>
          <w:kern w:val="2"/>
          <w:sz w:val="24"/>
          <w:szCs w:val="24"/>
          <w:lang w:val="en-US" w:eastAsia="zh-CN" w:bidi="ar-SA"/>
        </w:rPr>
        <w:t>（四）加强环保宣传。</w:t>
      </w:r>
      <w:r>
        <w:rPr>
          <w:rFonts w:hint="eastAsia" w:ascii="仿宋_GB2312" w:hAnsi="仿宋_GB2312" w:eastAsia="仿宋_GB2312" w:cs="仿宋_GB2312"/>
          <w:sz w:val="24"/>
          <w:szCs w:val="24"/>
        </w:rPr>
        <w:t>充分利用村镇广播、电视、公益广告、各类演出活动普及环境保护知识，做到垃圾不乱倒、粪土不乱堆、污水不乱流</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群策群力，营造一个良好的氛围来感染、激励和引导人们，使人们的思想意识、法律道德观念，行为规范与环境、经济、社会协调发展相适应。</w:t>
      </w:r>
    </w:p>
    <w:p>
      <w:pPr>
        <w:keepNext w:val="0"/>
        <w:keepLines w:val="0"/>
        <w:pageBreakBefore w:val="0"/>
        <w:kinsoku/>
        <w:wordWrap/>
        <w:overflowPunct/>
        <w:topLinePunct w:val="0"/>
        <w:autoSpaceDE/>
        <w:autoSpaceDN/>
        <w:bidi w:val="0"/>
        <w:adjustRightInd/>
        <w:snapToGrid/>
        <w:spacing w:line="640" w:lineRule="exact"/>
        <w:jc w:val="center"/>
        <w:rPr>
          <w:rFonts w:hint="eastAsia" w:ascii="宋体" w:hAnsi="宋体" w:eastAsia="方正小标宋简体" w:cs="宋体"/>
          <w:b w:val="0"/>
          <w:bCs w:val="0"/>
          <w:color w:val="auto"/>
          <w:sz w:val="24"/>
          <w:szCs w:val="24"/>
          <w:shd w:val="clear" w:color="auto" w:fill="auto"/>
          <w:lang w:eastAsia="zh-CN"/>
        </w:rPr>
      </w:pPr>
    </w:p>
    <w:p>
      <w:pPr>
        <w:pStyle w:val="2"/>
        <w:rPr>
          <w:rFonts w:hint="eastAsia" w:ascii="宋体" w:hAnsi="宋体" w:eastAsia="方正小标宋简体" w:cs="宋体"/>
          <w:b w:val="0"/>
          <w:bCs w:val="0"/>
          <w:color w:val="auto"/>
          <w:sz w:val="24"/>
          <w:szCs w:val="24"/>
          <w:shd w:val="clear" w:color="auto" w:fill="auto"/>
          <w:lang w:eastAsia="zh-CN"/>
        </w:rPr>
      </w:pPr>
    </w:p>
    <w:p>
      <w:pPr>
        <w:pStyle w:val="3"/>
        <w:rPr>
          <w:rFonts w:hint="eastAsia"/>
          <w:sz w:val="24"/>
          <w:szCs w:val="24"/>
          <w:lang w:eastAsia="zh-CN"/>
        </w:rPr>
      </w:pPr>
    </w:p>
    <w:p>
      <w:pPr>
        <w:spacing w:line="560" w:lineRule="exact"/>
        <w:ind w:left="0" w:leftChars="0" w:firstLine="0" w:firstLineChars="0"/>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7</w:t>
      </w:r>
    </w:p>
    <w:p>
      <w:pPr>
        <w:pStyle w:val="3"/>
        <w:rPr>
          <w:rFonts w:hint="eastAsia" w:ascii="宋体" w:hAnsi="宋体" w:eastAsia="方正小标宋简体" w:cs="宋体"/>
          <w:b w:val="0"/>
          <w:bCs w:val="0"/>
          <w:sz w:val="24"/>
          <w:szCs w:val="24"/>
          <w:lang w:eastAsia="zh-CN"/>
        </w:rPr>
      </w:pPr>
    </w:p>
    <w:p>
      <w:pPr>
        <w:rPr>
          <w:rFonts w:hint="eastAsia" w:ascii="宋体" w:hAnsi="宋体" w:eastAsia="方正小标宋简体" w:cs="宋体"/>
          <w:b w:val="0"/>
          <w:bCs w:val="0"/>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方正小标宋简体" w:cs="宋体"/>
          <w:b w:val="0"/>
          <w:bCs w:val="0"/>
          <w:color w:val="auto"/>
          <w:sz w:val="24"/>
          <w:szCs w:val="24"/>
          <w:shd w:val="clear" w:color="auto" w:fill="auto"/>
          <w:lang w:eastAsia="zh-CN"/>
        </w:rPr>
      </w:pPr>
      <w:r>
        <w:rPr>
          <w:rFonts w:hint="eastAsia" w:ascii="宋体" w:hAnsi="宋体" w:eastAsia="方正小标宋简体" w:cs="宋体"/>
          <w:b w:val="0"/>
          <w:bCs w:val="0"/>
          <w:sz w:val="24"/>
          <w:szCs w:val="24"/>
          <w:lang w:eastAsia="zh-CN"/>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color w:val="auto"/>
          <w:sz w:val="24"/>
          <w:szCs w:val="24"/>
          <w:shd w:val="clear" w:color="auto" w:fill="auto"/>
        </w:rPr>
        <w:t>农村</w:t>
      </w:r>
      <w:r>
        <w:rPr>
          <w:rFonts w:hint="eastAsia" w:ascii="宋体" w:hAnsi="宋体" w:eastAsia="方正小标宋简体" w:cs="宋体"/>
          <w:b w:val="0"/>
          <w:bCs w:val="0"/>
          <w:color w:val="auto"/>
          <w:sz w:val="24"/>
          <w:szCs w:val="24"/>
          <w:shd w:val="clear" w:color="auto" w:fill="auto"/>
          <w:lang w:eastAsia="zh-CN"/>
        </w:rPr>
        <w:t>人居环境整治“垃圾革命”工作</w:t>
      </w:r>
      <w:r>
        <w:rPr>
          <w:rFonts w:hint="eastAsia" w:ascii="宋体" w:hAnsi="宋体" w:eastAsia="方正小标宋简体" w:cs="宋体"/>
          <w:b w:val="0"/>
          <w:bCs w:val="0"/>
          <w:color w:val="auto"/>
          <w:sz w:val="24"/>
          <w:szCs w:val="24"/>
          <w:shd w:val="clear" w:color="auto" w:fill="auto"/>
        </w:rPr>
        <w:t>方案</w:t>
      </w:r>
    </w:p>
    <w:p>
      <w:pPr>
        <w:keepNext w:val="0"/>
        <w:keepLines w:val="0"/>
        <w:pageBreakBefore w:val="0"/>
        <w:widowControl/>
        <w:kinsoku/>
        <w:wordWrap/>
        <w:overflowPunct/>
        <w:topLinePunct w:val="0"/>
        <w:autoSpaceDE/>
        <w:autoSpaceDN/>
        <w:bidi w:val="0"/>
        <w:adjustRightInd/>
        <w:snapToGrid/>
        <w:spacing w:line="540" w:lineRule="exact"/>
        <w:jc w:val="left"/>
        <w:textAlignment w:val="center"/>
        <w:rPr>
          <w:rFonts w:hint="eastAsia" w:ascii="宋体" w:hAnsi="宋体" w:eastAsia="仿宋" w:cs="宋体"/>
          <w:b w:val="0"/>
          <w:bCs w:val="0"/>
          <w:color w:val="auto"/>
          <w:kern w:val="0"/>
          <w:sz w:val="24"/>
          <w:szCs w:val="24"/>
          <w:shd w:val="clear" w:color="auto" w:fill="auto"/>
          <w:lang w:eastAsia="zh-CN"/>
        </w:rPr>
      </w:pP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为深入推进我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环境综合治理工作，提高人居环境质量和生态文明水平，有序开展生活垃圾处理设施规划、建设、运行和监管工作，进一步提高我</w:t>
      </w:r>
      <w:r>
        <w:rPr>
          <w:rFonts w:hint="eastAsia" w:ascii="仿宋_GB2312" w:hAnsi="仿宋_GB2312" w:eastAsia="仿宋_GB2312" w:cs="仿宋_GB2312"/>
          <w:b w:val="0"/>
          <w:bCs w:val="0"/>
          <w:color w:val="auto"/>
          <w:kern w:val="0"/>
          <w:sz w:val="24"/>
          <w:szCs w:val="24"/>
          <w:shd w:val="clear" w:color="auto" w:fill="auto"/>
          <w:lang w:eastAsia="zh-CN"/>
        </w:rPr>
        <w:t>县</w:t>
      </w:r>
      <w:r>
        <w:rPr>
          <w:rFonts w:hint="eastAsia" w:ascii="仿宋_GB2312" w:hAnsi="仿宋_GB2312" w:eastAsia="仿宋_GB2312" w:cs="仿宋_GB2312"/>
          <w:b w:val="0"/>
          <w:bCs w:val="0"/>
          <w:color w:val="auto"/>
          <w:kern w:val="0"/>
          <w:sz w:val="24"/>
          <w:szCs w:val="24"/>
          <w:shd w:val="clear" w:color="auto" w:fill="auto"/>
        </w:rPr>
        <w:t>农村生活垃圾无害化处理能力，</w:t>
      </w:r>
      <w:r>
        <w:rPr>
          <w:rFonts w:hint="eastAsia" w:ascii="仿宋_GB2312" w:hAnsi="仿宋_GB2312" w:eastAsia="仿宋_GB2312" w:cs="仿宋_GB2312"/>
          <w:b w:val="0"/>
          <w:bCs w:val="0"/>
          <w:color w:val="auto"/>
          <w:kern w:val="0"/>
          <w:sz w:val="24"/>
          <w:szCs w:val="24"/>
          <w:shd w:val="clear" w:color="auto" w:fill="auto"/>
          <w:lang w:eastAsia="zh-CN"/>
        </w:rPr>
        <w:t>结合实际，</w:t>
      </w:r>
      <w:r>
        <w:rPr>
          <w:rFonts w:hint="eastAsia" w:ascii="仿宋_GB2312" w:hAnsi="仿宋_GB2312" w:eastAsia="仿宋_GB2312" w:cs="仿宋_GB2312"/>
          <w:b w:val="0"/>
          <w:bCs w:val="0"/>
          <w:color w:val="auto"/>
          <w:kern w:val="0"/>
          <w:sz w:val="24"/>
          <w:szCs w:val="24"/>
          <w:shd w:val="clear" w:color="auto" w:fill="auto"/>
        </w:rPr>
        <w:t>特制定本方案。</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一、基本原则</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（一）改善民生，保护环境原则。</w:t>
      </w:r>
      <w:r>
        <w:rPr>
          <w:rFonts w:hint="eastAsia" w:ascii="仿宋_GB2312" w:hAnsi="仿宋_GB2312" w:eastAsia="仿宋_GB2312" w:cs="仿宋_GB2312"/>
          <w:b w:val="0"/>
          <w:bCs w:val="0"/>
          <w:color w:val="auto"/>
          <w:kern w:val="0"/>
          <w:sz w:val="24"/>
          <w:szCs w:val="24"/>
          <w:shd w:val="clear" w:color="auto" w:fill="auto"/>
        </w:rPr>
        <w:t>围绕改善和提高我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人居生活环境质量、削减生活垃圾污染、保护环境，开展农村生活垃圾的收运和处理工作，努力构建城乡统筹、能力充足、环保达标的生活垃圾处理体系。</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（二）统一规划，因地制宜原则。</w:t>
      </w:r>
      <w:r>
        <w:rPr>
          <w:rFonts w:hint="eastAsia" w:ascii="仿宋_GB2312" w:hAnsi="仿宋_GB2312" w:eastAsia="仿宋_GB2312" w:cs="仿宋_GB2312"/>
          <w:b w:val="0"/>
          <w:bCs w:val="0"/>
          <w:color w:val="auto"/>
          <w:kern w:val="0"/>
          <w:sz w:val="24"/>
          <w:szCs w:val="24"/>
          <w:shd w:val="clear" w:color="auto" w:fill="auto"/>
        </w:rPr>
        <w:t>各村（社区）垃圾处理处置设施由镇治理办结合人口聚集程度、自然地理条件、经济发展水平、生活垃圾成分和性质，统一规划、因地制宜地建设具有污染防治措施的生活垃圾处理设施。</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（三）减量化、资源化、无害化原则。</w:t>
      </w:r>
      <w:r>
        <w:rPr>
          <w:rFonts w:hint="eastAsia" w:ascii="仿宋_GB2312" w:hAnsi="仿宋_GB2312" w:eastAsia="仿宋_GB2312" w:cs="仿宋_GB2312"/>
          <w:b w:val="0"/>
          <w:bCs w:val="0"/>
          <w:color w:val="auto"/>
          <w:kern w:val="0"/>
          <w:sz w:val="24"/>
          <w:szCs w:val="24"/>
          <w:shd w:val="clear" w:color="auto" w:fill="auto"/>
        </w:rPr>
        <w:t>农村生活垃圾处理要坚持减量化、资源化、无害化原则，逐步推广垃圾分类收集、分类处置和垃圾资源再利用。</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二、分类标准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农村生活垃圾分</w:t>
      </w:r>
      <w:r>
        <w:rPr>
          <w:rFonts w:hint="eastAsia" w:ascii="仿宋_GB2312" w:hAnsi="仿宋_GB2312" w:eastAsia="仿宋_GB2312" w:cs="仿宋_GB2312"/>
          <w:b w:val="0"/>
          <w:bCs w:val="0"/>
          <w:color w:val="auto"/>
          <w:kern w:val="0"/>
          <w:sz w:val="24"/>
          <w:szCs w:val="24"/>
          <w:shd w:val="clear" w:color="auto" w:fill="auto"/>
          <w:lang w:val="en-US" w:eastAsia="zh-CN"/>
        </w:rPr>
        <w:t>三</w:t>
      </w:r>
      <w:r>
        <w:rPr>
          <w:rFonts w:hint="eastAsia" w:ascii="仿宋_GB2312" w:hAnsi="仿宋_GB2312" w:eastAsia="仿宋_GB2312" w:cs="仿宋_GB2312"/>
          <w:b w:val="0"/>
          <w:bCs w:val="0"/>
          <w:color w:val="auto"/>
          <w:kern w:val="0"/>
          <w:sz w:val="24"/>
          <w:szCs w:val="24"/>
          <w:shd w:val="clear" w:color="auto" w:fill="auto"/>
        </w:rPr>
        <w:t>类进行处理：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rPr>
        <w:t>一是</w:t>
      </w:r>
      <w:r>
        <w:rPr>
          <w:rFonts w:hint="eastAsia" w:ascii="楷体_GB2312" w:hAnsi="楷体_GB2312" w:eastAsia="楷体_GB2312" w:cs="楷体_GB2312"/>
          <w:b w:val="0"/>
          <w:bCs w:val="0"/>
          <w:color w:val="auto"/>
          <w:kern w:val="0"/>
          <w:sz w:val="24"/>
          <w:szCs w:val="24"/>
          <w:shd w:val="clear" w:color="auto" w:fill="auto"/>
          <w:lang w:eastAsia="zh-CN"/>
        </w:rPr>
        <w:t>可回收垃圾</w:t>
      </w:r>
      <w:r>
        <w:rPr>
          <w:rFonts w:hint="eastAsia" w:ascii="仿宋_GB2312" w:hAnsi="仿宋_GB2312" w:eastAsia="仿宋_GB2312" w:cs="仿宋_GB2312"/>
          <w:b w:val="0"/>
          <w:bCs w:val="0"/>
          <w:color w:val="auto"/>
          <w:kern w:val="0"/>
          <w:sz w:val="24"/>
          <w:szCs w:val="24"/>
          <w:shd w:val="clear" w:color="auto" w:fill="auto"/>
          <w:lang w:eastAsia="zh-CN"/>
        </w:rPr>
        <w:t>：适宜回收和资源利用的垃圾，包括废纸、废塑料、废金属、废包装物、废弃电器电子产品、废玻璃等。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二是易腐垃圾</w:t>
      </w:r>
      <w:r>
        <w:rPr>
          <w:rFonts w:hint="eastAsia" w:ascii="仿宋_GB2312" w:hAnsi="仿宋_GB2312" w:eastAsia="仿宋_GB2312" w:cs="仿宋_GB2312"/>
          <w:b w:val="0"/>
          <w:bCs w:val="0"/>
          <w:color w:val="auto"/>
          <w:kern w:val="0"/>
          <w:sz w:val="24"/>
          <w:szCs w:val="24"/>
          <w:shd w:val="clear" w:color="auto" w:fill="auto"/>
          <w:lang w:eastAsia="zh-CN"/>
        </w:rPr>
        <w:t>：在普通存放条件下容易腐烂变质的有机物废物，剩</w:t>
      </w:r>
      <w:r>
        <w:rPr>
          <w:rFonts w:hint="eastAsia" w:ascii="仿宋_GB2312" w:hAnsi="仿宋_GB2312" w:eastAsia="仿宋_GB2312" w:cs="仿宋_GB2312"/>
          <w:b w:val="0"/>
          <w:bCs w:val="0"/>
          <w:color w:val="auto"/>
          <w:kern w:val="0"/>
          <w:sz w:val="24"/>
          <w:szCs w:val="24"/>
          <w:shd w:val="clear" w:color="auto" w:fill="auto"/>
        </w:rPr>
        <w:t>菜、剩饭、菜叶、果皮、</w:t>
      </w:r>
      <w:r>
        <w:rPr>
          <w:rFonts w:hint="eastAsia" w:ascii="仿宋_GB2312" w:hAnsi="仿宋_GB2312" w:eastAsia="仿宋_GB2312" w:cs="仿宋_GB2312"/>
          <w:b w:val="0"/>
          <w:bCs w:val="0"/>
          <w:color w:val="auto"/>
          <w:kern w:val="0"/>
          <w:sz w:val="24"/>
          <w:szCs w:val="24"/>
          <w:shd w:val="clear" w:color="auto" w:fill="auto"/>
          <w:lang w:eastAsia="zh-CN"/>
        </w:rPr>
        <w:t>腐肉、碎骨</w:t>
      </w:r>
      <w:r>
        <w:rPr>
          <w:rFonts w:hint="eastAsia" w:ascii="仿宋_GB2312" w:hAnsi="仿宋_GB2312" w:eastAsia="仿宋_GB2312" w:cs="仿宋_GB2312"/>
          <w:b w:val="0"/>
          <w:bCs w:val="0"/>
          <w:color w:val="auto"/>
          <w:kern w:val="0"/>
          <w:sz w:val="24"/>
          <w:szCs w:val="24"/>
          <w:shd w:val="clear" w:color="auto" w:fill="auto"/>
        </w:rPr>
        <w:t>、</w:t>
      </w:r>
      <w:r>
        <w:rPr>
          <w:rFonts w:hint="eastAsia" w:ascii="仿宋_GB2312" w:hAnsi="仿宋_GB2312" w:eastAsia="仿宋_GB2312" w:cs="仿宋_GB2312"/>
          <w:b w:val="0"/>
          <w:bCs w:val="0"/>
          <w:color w:val="auto"/>
          <w:kern w:val="0"/>
          <w:sz w:val="24"/>
          <w:szCs w:val="24"/>
          <w:shd w:val="clear" w:color="auto" w:fill="auto"/>
          <w:lang w:eastAsia="zh-CN"/>
        </w:rPr>
        <w:t>蛋壳、动物内脏、</w:t>
      </w:r>
      <w:r>
        <w:rPr>
          <w:rFonts w:hint="eastAsia" w:ascii="仿宋_GB2312" w:hAnsi="仿宋_GB2312" w:eastAsia="仿宋_GB2312" w:cs="仿宋_GB2312"/>
          <w:b w:val="0"/>
          <w:bCs w:val="0"/>
          <w:color w:val="auto"/>
          <w:kern w:val="0"/>
          <w:sz w:val="24"/>
          <w:szCs w:val="24"/>
          <w:shd w:val="clear" w:color="auto" w:fill="auto"/>
        </w:rPr>
        <w:t>茶渣</w:t>
      </w:r>
      <w:r>
        <w:rPr>
          <w:rFonts w:hint="eastAsia" w:ascii="仿宋_GB2312" w:hAnsi="仿宋_GB2312" w:eastAsia="仿宋_GB2312" w:cs="仿宋_GB2312"/>
          <w:b w:val="0"/>
          <w:bCs w:val="0"/>
          <w:color w:val="auto"/>
          <w:kern w:val="0"/>
          <w:sz w:val="24"/>
          <w:szCs w:val="24"/>
          <w:shd w:val="clear" w:color="auto" w:fill="auto"/>
          <w:lang w:eastAsia="zh-CN"/>
        </w:rPr>
        <w:t>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三是其他垃圾</w:t>
      </w:r>
      <w:r>
        <w:rPr>
          <w:rFonts w:hint="eastAsia" w:ascii="仿宋_GB2312" w:hAnsi="仿宋_GB2312" w:eastAsia="仿宋_GB2312" w:cs="仿宋_GB2312"/>
          <w:b w:val="0"/>
          <w:bCs w:val="0"/>
          <w:color w:val="auto"/>
          <w:kern w:val="0"/>
          <w:sz w:val="24"/>
          <w:szCs w:val="24"/>
          <w:shd w:val="clear" w:color="auto" w:fill="auto"/>
          <w:lang w:eastAsia="zh-CN"/>
        </w:rPr>
        <w:t>：日常生活垃圾中除可回收和易腐垃圾之外的其他垃圾，如使用过的各类卫生纸和餐巾纸、带有塑料或蜡质衬里的纸张、纸盒和一次性用具等。</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三、处理方式</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（一）</w:t>
      </w:r>
      <w:r>
        <w:rPr>
          <w:rFonts w:hint="eastAsia" w:ascii="楷体_GB2312" w:hAnsi="楷体_GB2312" w:eastAsia="楷体_GB2312" w:cs="楷体_GB2312"/>
          <w:b w:val="0"/>
          <w:bCs w:val="0"/>
          <w:color w:val="auto"/>
          <w:kern w:val="0"/>
          <w:sz w:val="24"/>
          <w:szCs w:val="24"/>
          <w:shd w:val="clear" w:color="auto" w:fill="auto"/>
        </w:rPr>
        <w:t>生活垃圾采用户</w:t>
      </w:r>
      <w:r>
        <w:rPr>
          <w:rFonts w:hint="eastAsia" w:ascii="楷体_GB2312" w:hAnsi="楷体_GB2312" w:eastAsia="楷体_GB2312" w:cs="楷体_GB2312"/>
          <w:b w:val="0"/>
          <w:bCs w:val="0"/>
          <w:color w:val="auto"/>
          <w:kern w:val="0"/>
          <w:sz w:val="24"/>
          <w:szCs w:val="24"/>
          <w:shd w:val="clear" w:color="auto" w:fill="auto"/>
          <w:lang w:eastAsia="zh-CN"/>
        </w:rPr>
        <w:t>分类</w:t>
      </w:r>
      <w:r>
        <w:rPr>
          <w:rFonts w:hint="eastAsia" w:ascii="楷体_GB2312" w:hAnsi="楷体_GB2312" w:eastAsia="楷体_GB2312" w:cs="楷体_GB2312"/>
          <w:b w:val="0"/>
          <w:bCs w:val="0"/>
          <w:color w:val="auto"/>
          <w:kern w:val="0"/>
          <w:sz w:val="24"/>
          <w:szCs w:val="24"/>
          <w:shd w:val="clear" w:color="auto" w:fill="auto"/>
        </w:rPr>
        <w:t>、村收集、镇转运、县处理的方式进行处理。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户</w:t>
      </w:r>
      <w:r>
        <w:rPr>
          <w:rFonts w:hint="eastAsia" w:ascii="仿宋_GB2312" w:hAnsi="仿宋_GB2312" w:eastAsia="仿宋_GB2312" w:cs="仿宋_GB2312"/>
          <w:b w:val="0"/>
          <w:bCs w:val="0"/>
          <w:color w:val="auto"/>
          <w:kern w:val="0"/>
          <w:sz w:val="24"/>
          <w:szCs w:val="24"/>
          <w:shd w:val="clear" w:color="auto" w:fill="auto"/>
          <w:lang w:eastAsia="zh-CN"/>
        </w:rPr>
        <w:t>分类：</w:t>
      </w:r>
      <w:r>
        <w:rPr>
          <w:rFonts w:hint="eastAsia" w:ascii="仿宋_GB2312" w:hAnsi="仿宋_GB2312" w:eastAsia="仿宋_GB2312" w:cs="仿宋_GB2312"/>
          <w:b w:val="0"/>
          <w:bCs w:val="0"/>
          <w:color w:val="auto"/>
          <w:kern w:val="0"/>
          <w:sz w:val="24"/>
          <w:szCs w:val="24"/>
          <w:shd w:val="clear" w:color="auto" w:fill="auto"/>
        </w:rPr>
        <w:t>村民按照生活垃圾分类标准对生活垃圾进行粗分类，</w:t>
      </w:r>
      <w:r>
        <w:rPr>
          <w:rFonts w:hint="eastAsia" w:ascii="仿宋_GB2312" w:hAnsi="仿宋_GB2312" w:eastAsia="仿宋_GB2312" w:cs="仿宋_GB2312"/>
          <w:b w:val="0"/>
          <w:bCs w:val="0"/>
          <w:color w:val="auto"/>
          <w:kern w:val="0"/>
          <w:sz w:val="24"/>
          <w:szCs w:val="24"/>
          <w:shd w:val="clear" w:color="auto" w:fill="auto"/>
          <w:lang w:eastAsia="zh-CN"/>
        </w:rPr>
        <w:t>在每户放置三个垃圾桶，将其分为可回收垃圾、易腐垃圾、其他垃圾。</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2.村收集：村</w:t>
      </w:r>
      <w:r>
        <w:rPr>
          <w:rFonts w:hint="eastAsia" w:ascii="仿宋_GB2312" w:hAnsi="仿宋_GB2312" w:eastAsia="仿宋_GB2312" w:cs="仿宋_GB2312"/>
          <w:b w:val="0"/>
          <w:bCs w:val="0"/>
          <w:color w:val="auto"/>
          <w:kern w:val="0"/>
          <w:sz w:val="24"/>
          <w:szCs w:val="24"/>
          <w:shd w:val="clear" w:color="auto" w:fill="auto"/>
        </w:rPr>
        <w:t>保洁员将定点垃圾</w:t>
      </w:r>
      <w:r>
        <w:rPr>
          <w:rFonts w:hint="eastAsia" w:ascii="仿宋_GB2312" w:hAnsi="仿宋_GB2312" w:eastAsia="仿宋_GB2312" w:cs="仿宋_GB2312"/>
          <w:b w:val="0"/>
          <w:bCs w:val="0"/>
          <w:color w:val="auto"/>
          <w:kern w:val="0"/>
          <w:sz w:val="24"/>
          <w:szCs w:val="24"/>
          <w:shd w:val="clear" w:color="auto" w:fill="auto"/>
          <w:lang w:eastAsia="zh-CN"/>
        </w:rPr>
        <w:t>桶</w:t>
      </w:r>
      <w:r>
        <w:rPr>
          <w:rFonts w:hint="eastAsia" w:ascii="仿宋_GB2312" w:hAnsi="仿宋_GB2312" w:eastAsia="仿宋_GB2312" w:cs="仿宋_GB2312"/>
          <w:b w:val="0"/>
          <w:bCs w:val="0"/>
          <w:color w:val="auto"/>
          <w:kern w:val="0"/>
          <w:sz w:val="24"/>
          <w:szCs w:val="24"/>
          <w:shd w:val="clear" w:color="auto" w:fill="auto"/>
        </w:rPr>
        <w:t>的垃圾进行细分类</w:t>
      </w:r>
      <w:r>
        <w:rPr>
          <w:rFonts w:hint="eastAsia" w:ascii="仿宋_GB2312" w:hAnsi="仿宋_GB2312" w:eastAsia="仿宋_GB2312" w:cs="仿宋_GB2312"/>
          <w:b w:val="0"/>
          <w:bCs w:val="0"/>
          <w:color w:val="auto"/>
          <w:kern w:val="0"/>
          <w:sz w:val="24"/>
          <w:szCs w:val="24"/>
          <w:shd w:val="clear" w:color="auto" w:fill="auto"/>
          <w:lang w:eastAsia="zh-CN"/>
        </w:rPr>
        <w:t>收集并转运至镇上的</w:t>
      </w:r>
      <w:r>
        <w:rPr>
          <w:rFonts w:hint="eastAsia" w:ascii="仿宋_GB2312" w:hAnsi="仿宋_GB2312" w:eastAsia="仿宋_GB2312" w:cs="仿宋_GB2312"/>
          <w:b w:val="0"/>
          <w:bCs w:val="0"/>
          <w:color w:val="auto"/>
          <w:kern w:val="0"/>
          <w:sz w:val="24"/>
          <w:szCs w:val="24"/>
          <w:shd w:val="clear" w:color="auto" w:fill="auto"/>
        </w:rPr>
        <w:t>垃圾中转站，可回收垃圾变卖收入作为保洁员额外报酬收入，并负责组上的日常保洁工作。</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镇转运。镇对垃圾中转站内生活垃圾转运至垃圾填埋场按无害化标准，规范集中填埋处理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lang w:val="en-US" w:eastAsia="zh-CN"/>
        </w:rPr>
        <w:t>市</w:t>
      </w:r>
      <w:r>
        <w:rPr>
          <w:rFonts w:hint="eastAsia" w:ascii="仿宋_GB2312" w:hAnsi="仿宋_GB2312" w:eastAsia="仿宋_GB2312" w:cs="仿宋_GB2312"/>
          <w:b w:val="0"/>
          <w:bCs w:val="0"/>
          <w:color w:val="auto"/>
          <w:kern w:val="0"/>
          <w:sz w:val="24"/>
          <w:szCs w:val="24"/>
          <w:shd w:val="clear" w:color="auto" w:fill="auto"/>
        </w:rPr>
        <w:t>处理。县上实行统一标准、统一要求、统一监管，确保垃圾按无害化标准，规范化填埋处理。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（二）</w:t>
      </w:r>
      <w:r>
        <w:rPr>
          <w:rFonts w:hint="eastAsia" w:ascii="楷体_GB2312" w:hAnsi="楷体_GB2312" w:eastAsia="楷体_GB2312" w:cs="楷体_GB2312"/>
          <w:b w:val="0"/>
          <w:bCs w:val="0"/>
          <w:color w:val="auto"/>
          <w:kern w:val="0"/>
          <w:sz w:val="24"/>
          <w:szCs w:val="24"/>
          <w:shd w:val="clear" w:color="auto" w:fill="auto"/>
        </w:rPr>
        <w:t>健全环卫队伍</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根据垃圾收集、分类、处理方式，作业时间等因素，配置相应人员和运载工具，有序开展垃圾分类收集和生态处置工作</w:t>
      </w:r>
      <w:r>
        <w:rPr>
          <w:rFonts w:hint="eastAsia" w:ascii="仿宋_GB2312" w:hAnsi="仿宋_GB2312" w:eastAsia="仿宋_GB2312" w:cs="仿宋_GB2312"/>
          <w:b w:val="0"/>
          <w:bCs w:val="0"/>
          <w:color w:val="auto"/>
          <w:kern w:val="0"/>
          <w:sz w:val="24"/>
          <w:szCs w:val="24"/>
          <w:shd w:val="clear" w:color="auto" w:fill="auto"/>
          <w:lang w:eastAsia="zh-CN"/>
        </w:rPr>
        <w:t>。</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组建环境卫生监督管理队伍。镇治理办主要负责全镇环境卫生检查，监督相关人员落实保洁工作。</w:t>
      </w:r>
    </w:p>
    <w:p>
      <w:pPr>
        <w:keepNext w:val="0"/>
        <w:keepLines w:val="0"/>
        <w:pageBreakBefore w:val="0"/>
        <w:kinsoku/>
        <w:wordWrap/>
        <w:overflowPunct/>
        <w:topLinePunct w:val="0"/>
        <w:autoSpaceDE/>
        <w:autoSpaceDN/>
        <w:bidi w:val="0"/>
        <w:adjustRightInd w:val="0"/>
        <w:snapToGrid w:val="0"/>
        <w:spacing w:line="336" w:lineRule="auto"/>
        <w:ind w:firstLine="645"/>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auto"/>
          <w:kern w:val="0"/>
          <w:sz w:val="24"/>
          <w:szCs w:val="24"/>
          <w:shd w:val="clear" w:color="auto" w:fill="auto"/>
        </w:rPr>
        <w:t>2</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kern w:val="0"/>
          <w:sz w:val="24"/>
          <w:szCs w:val="24"/>
        </w:rPr>
        <w:t>配齐村组保洁人员。</w:t>
      </w:r>
      <w:r>
        <w:rPr>
          <w:rFonts w:hint="eastAsia" w:ascii="仿宋_GB2312" w:hAnsi="仿宋_GB2312" w:eastAsia="仿宋_GB2312" w:cs="仿宋_GB2312"/>
          <w:sz w:val="24"/>
          <w:szCs w:val="24"/>
        </w:rPr>
        <w:t>村组保洁人员由各镇与公益性岗位人员统筹整合使用，资金不足部分由镇自行解决。保洁人员负责将垃圾收集池垃圾转运到镇上垃圾生态处理池分类处理，每月清运</w:t>
      </w: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次以上。同时负责村、组道路沿线和公共区域的卫生清扫保洁工作。</w:t>
      </w:r>
      <w:r>
        <w:rPr>
          <w:rFonts w:hint="eastAsia" w:ascii="仿宋_GB2312" w:hAnsi="仿宋_GB2312" w:eastAsia="仿宋_GB2312" w:cs="仿宋_GB2312"/>
          <w:sz w:val="24"/>
          <w:szCs w:val="24"/>
          <w:lang w:eastAsia="zh-CN"/>
        </w:rPr>
        <w:t>镇</w:t>
      </w:r>
      <w:r>
        <w:rPr>
          <w:rFonts w:hint="eastAsia" w:ascii="仿宋_GB2312" w:hAnsi="仿宋_GB2312" w:eastAsia="仿宋_GB2312" w:cs="仿宋_GB2312"/>
          <w:sz w:val="24"/>
          <w:szCs w:val="24"/>
        </w:rPr>
        <w:t>党委政府对保洁人员实行月督查、月考核制度。</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lang w:eastAsia="zh-CN"/>
        </w:rPr>
        <w:t>四</w:t>
      </w:r>
      <w:r>
        <w:rPr>
          <w:rFonts w:hint="eastAsia" w:ascii="黑体" w:hAnsi="黑体" w:eastAsia="黑体" w:cs="黑体"/>
          <w:b w:val="0"/>
          <w:bCs w:val="0"/>
          <w:color w:val="auto"/>
          <w:kern w:val="0"/>
          <w:sz w:val="24"/>
          <w:szCs w:val="24"/>
          <w:shd w:val="clear" w:color="auto" w:fill="auto"/>
        </w:rPr>
        <w:t>、工作内容</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（一）</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月20日至</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rPr>
        <w:t>0日组织对</w:t>
      </w:r>
      <w:r>
        <w:rPr>
          <w:rFonts w:hint="eastAsia" w:ascii="仿宋_GB2312" w:hAnsi="仿宋_GB2312" w:eastAsia="仿宋_GB2312" w:cs="仿宋_GB2312"/>
          <w:b w:val="0"/>
          <w:bCs w:val="0"/>
          <w:color w:val="auto"/>
          <w:kern w:val="0"/>
          <w:sz w:val="24"/>
          <w:szCs w:val="24"/>
          <w:shd w:val="clear" w:color="auto" w:fill="auto"/>
          <w:lang w:eastAsia="zh-CN"/>
        </w:rPr>
        <w:t>示范点</w:t>
      </w:r>
      <w:r>
        <w:rPr>
          <w:rFonts w:hint="eastAsia" w:ascii="仿宋_GB2312" w:hAnsi="仿宋_GB2312" w:eastAsia="仿宋_GB2312" w:cs="仿宋_GB2312"/>
          <w:b w:val="0"/>
          <w:bCs w:val="0"/>
          <w:color w:val="auto"/>
          <w:kern w:val="0"/>
          <w:sz w:val="24"/>
          <w:szCs w:val="24"/>
          <w:shd w:val="clear" w:color="auto" w:fill="auto"/>
        </w:rPr>
        <w:t>内配备</w:t>
      </w:r>
      <w:r>
        <w:rPr>
          <w:rFonts w:hint="eastAsia" w:ascii="仿宋_GB2312" w:hAnsi="仿宋_GB2312" w:eastAsia="仿宋_GB2312" w:cs="仿宋_GB2312"/>
          <w:b w:val="0"/>
          <w:bCs w:val="0"/>
          <w:color w:val="auto"/>
          <w:kern w:val="0"/>
          <w:sz w:val="24"/>
          <w:szCs w:val="24"/>
          <w:shd w:val="clear" w:color="auto" w:fill="auto"/>
          <w:lang w:eastAsia="zh-CN"/>
        </w:rPr>
        <w:t>垃圾桶、</w:t>
      </w:r>
      <w:r>
        <w:rPr>
          <w:rFonts w:hint="eastAsia" w:ascii="仿宋_GB2312" w:hAnsi="仿宋_GB2312" w:eastAsia="仿宋_GB2312" w:cs="仿宋_GB2312"/>
          <w:b w:val="0"/>
          <w:bCs w:val="0"/>
          <w:color w:val="auto"/>
          <w:kern w:val="0"/>
          <w:sz w:val="24"/>
          <w:szCs w:val="24"/>
          <w:shd w:val="clear" w:color="auto" w:fill="auto"/>
        </w:rPr>
        <w:t>垃圾运输车辆的情况开展摸底调查工作，同时结合实际，确定</w:t>
      </w:r>
      <w:r>
        <w:rPr>
          <w:rFonts w:hint="eastAsia" w:ascii="仿宋_GB2312" w:hAnsi="仿宋_GB2312" w:eastAsia="仿宋_GB2312" w:cs="仿宋_GB2312"/>
          <w:b w:val="0"/>
          <w:bCs w:val="0"/>
          <w:color w:val="auto"/>
          <w:kern w:val="0"/>
          <w:sz w:val="24"/>
          <w:szCs w:val="24"/>
          <w:shd w:val="clear" w:color="auto" w:fill="auto"/>
          <w:lang w:eastAsia="zh-CN"/>
        </w:rPr>
        <w:t>购买垃圾桶</w:t>
      </w:r>
      <w:r>
        <w:rPr>
          <w:rFonts w:hint="eastAsia" w:ascii="仿宋_GB2312" w:hAnsi="仿宋_GB2312" w:eastAsia="仿宋_GB2312" w:cs="仿宋_GB2312"/>
          <w:b w:val="0"/>
          <w:bCs w:val="0"/>
          <w:color w:val="auto"/>
          <w:kern w:val="0"/>
          <w:sz w:val="24"/>
          <w:szCs w:val="24"/>
          <w:shd w:val="clear" w:color="auto" w:fill="auto"/>
        </w:rPr>
        <w:t>数量，整合资源，降低成本，保证资金用在刀刃上。</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（二）</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日至</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20</w:t>
      </w:r>
      <w:r>
        <w:rPr>
          <w:rFonts w:hint="eastAsia" w:ascii="仿宋_GB2312" w:hAnsi="仿宋_GB2312" w:eastAsia="仿宋_GB2312" w:cs="仿宋_GB2312"/>
          <w:b w:val="0"/>
          <w:bCs w:val="0"/>
          <w:color w:val="auto"/>
          <w:kern w:val="0"/>
          <w:sz w:val="24"/>
          <w:szCs w:val="24"/>
          <w:shd w:val="clear" w:color="auto" w:fill="auto"/>
        </w:rPr>
        <w:t>日制订201</w:t>
      </w:r>
      <w:r>
        <w:rPr>
          <w:rFonts w:hint="eastAsia" w:ascii="仿宋_GB2312" w:hAnsi="仿宋_GB2312" w:eastAsia="仿宋_GB2312" w:cs="仿宋_GB2312"/>
          <w:b w:val="0"/>
          <w:bCs w:val="0"/>
          <w:color w:val="auto"/>
          <w:kern w:val="0"/>
          <w:sz w:val="24"/>
          <w:szCs w:val="24"/>
          <w:shd w:val="clear" w:color="auto" w:fill="auto"/>
          <w:lang w:val="en-US" w:eastAsia="zh-CN"/>
        </w:rPr>
        <w:t>9</w:t>
      </w:r>
      <w:r>
        <w:rPr>
          <w:rFonts w:hint="eastAsia" w:ascii="仿宋_GB2312" w:hAnsi="仿宋_GB2312" w:eastAsia="仿宋_GB2312" w:cs="仿宋_GB2312"/>
          <w:b w:val="0"/>
          <w:bCs w:val="0"/>
          <w:color w:val="auto"/>
          <w:kern w:val="0"/>
          <w:sz w:val="24"/>
          <w:szCs w:val="24"/>
          <w:shd w:val="clear" w:color="auto" w:fill="auto"/>
        </w:rPr>
        <w:t>年工作方案，同时进行广泛的宣传动员工作，召开村民小组会议、院坝会，宣传教育群众广泛参与到解决农村垃圾面源污染和垃圾减量化的工作中来，杜绝出现政府主动、群众旁观的现象。</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（三）</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1日至1</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月30日进入实施阶段，集中时间、集中精力，突出工作重点，配齐、配足环卫人员，定岗定责，切实履行控制农村面源污染的职责。</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val="0"/>
          <w:bCs w:val="0"/>
          <w:color w:val="auto"/>
          <w:kern w:val="0"/>
          <w:sz w:val="24"/>
          <w:szCs w:val="24"/>
          <w:shd w:val="clear" w:color="auto" w:fill="auto"/>
          <w:lang w:eastAsia="zh-CN"/>
        </w:rPr>
        <w:t>（四）</w:t>
      </w:r>
      <w:r>
        <w:rPr>
          <w:rFonts w:hint="eastAsia" w:ascii="仿宋_GB2312" w:hAnsi="仿宋_GB2312" w:eastAsia="仿宋_GB2312" w:cs="仿宋_GB2312"/>
          <w:b w:val="0"/>
          <w:bCs w:val="0"/>
          <w:color w:val="auto"/>
          <w:kern w:val="0"/>
          <w:sz w:val="24"/>
          <w:szCs w:val="24"/>
          <w:shd w:val="clear" w:color="auto" w:fill="auto"/>
        </w:rPr>
        <w:t>充分发挥优势，创新宣传形式，利用广播、电视、报刊等各种宣传平台，开展新公民文明素质培训，宣传教育群众学习文化礼仪知识，改变生活陋习，提升公民综合素质；强化公民的环境意识培训，改变垃圾乱倒乱扔乱堆、杂物乱放的不良习惯，提高自觉参与改善自身环境卫生意识</w:t>
      </w:r>
      <w:r>
        <w:rPr>
          <w:rFonts w:hint="eastAsia" w:ascii="仿宋_GB2312" w:hAnsi="仿宋_GB2312" w:eastAsia="仿宋_GB2312" w:cs="仿宋_GB2312"/>
          <w:b w:val="0"/>
          <w:bCs w:val="0"/>
          <w:color w:val="auto"/>
          <w:kern w:val="0"/>
          <w:sz w:val="24"/>
          <w:szCs w:val="24"/>
          <w:shd w:val="clear" w:color="auto" w:fill="auto"/>
          <w:lang w:eastAsia="zh-CN"/>
        </w:rPr>
        <w:t>。</w:t>
      </w:r>
    </w:p>
    <w:p>
      <w:pPr>
        <w:widowControl/>
        <w:spacing w:line="600" w:lineRule="exact"/>
        <w:ind w:firstLine="1440" w:firstLineChars="600"/>
        <w:jc w:val="left"/>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第二章</w:t>
      </w:r>
      <w:r>
        <w:rPr>
          <w:rFonts w:ascii="Times New Roman" w:hAnsi="Times New Roman" w:eastAsia="仿宋"/>
          <w:b w:val="0"/>
          <w:bCs w:val="0"/>
          <w:color w:val="000000"/>
          <w:sz w:val="24"/>
          <w:szCs w:val="24"/>
        </w:rPr>
        <w:t xml:space="preserve"> </w:t>
      </w:r>
      <w:r>
        <w:rPr>
          <w:rFonts w:hint="eastAsia" w:ascii="Times New Roman" w:hAnsi="Times New Roman" w:eastAsia="仿宋"/>
          <w:b w:val="0"/>
          <w:bCs w:val="0"/>
          <w:color w:val="000000"/>
          <w:sz w:val="24"/>
          <w:szCs w:val="24"/>
        </w:rPr>
        <w:t>发展环境分析</w:t>
      </w:r>
      <w:bookmarkEnd w:id="1"/>
    </w:p>
    <w:p>
      <w:pPr>
        <w:pStyle w:val="5"/>
        <w:spacing w:line="600" w:lineRule="exact"/>
        <w:rPr>
          <w:rFonts w:hint="eastAsia" w:ascii="Times New Roman" w:hAnsi="Times New Roman" w:eastAsia="仿宋"/>
          <w:b w:val="0"/>
          <w:bCs w:val="0"/>
          <w:color w:val="000000"/>
          <w:sz w:val="24"/>
          <w:szCs w:val="24"/>
        </w:rPr>
      </w:pPr>
      <w:bookmarkStart w:id="6" w:name="_Toc3884550"/>
      <w:r>
        <w:rPr>
          <w:rFonts w:hint="eastAsia" w:ascii="Times New Roman" w:hAnsi="Times New Roman" w:eastAsia="仿宋"/>
          <w:b w:val="0"/>
          <w:bCs w:val="0"/>
          <w:color w:val="000000"/>
          <w:sz w:val="24"/>
          <w:szCs w:val="24"/>
        </w:rPr>
        <w:t>一、项目区基本情况</w:t>
      </w:r>
      <w:bookmarkEnd w:id="6"/>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1</w:t>
      </w:r>
      <w:r>
        <w:rPr>
          <w:rFonts w:hint="eastAsia" w:ascii="Times New Roman" w:hAnsi="Times New Roman" w:eastAsia="仿宋"/>
          <w:b w:val="0"/>
          <w:bCs w:val="0"/>
          <w:color w:val="000000"/>
          <w:sz w:val="24"/>
          <w:szCs w:val="24"/>
        </w:rPr>
        <w:t>）地理位置与行政区划</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射洪市，四川省辖县级市，由遂宁市代管，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 地处</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"https://baike.baidu.com/item/%E5%9B%9B%E5%B7%9D%E7%9B%86%E5%9C%B0/404637"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四川盆地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中部，</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"https://baike.baidu.com/item/%E6%B6%AA%E6%B1%9F/4919309"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涪江</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上游，遂宁以北，位于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"https://baike.baidu.com/item/%E6%88%90%E6%B8%9D%E7%BB%8F%E6%B5%8E%E5%8C%BA"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成渝经济区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北弧中心。射洪市人民政府驻</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"https://baike.baidu.com/item/%E5%AD%90%E6%98%82%E8%A1%97%E9%81%93/23630159"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子昂街道</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人民街106号。射洪市幅员面积1496平方公里。射洪气候属四川盆地亚热带湿润气候区，气候温和、四季分明。截至2019年，射洪市辖21个乡镇，2个街道；共有446个行政村（587个自然村），69个社区。截至2017年，射洪市户籍总人口97.24万。</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136EC2"/>
          <w:spacing w:val="0"/>
          <w:sz w:val="24"/>
          <w:szCs w:val="24"/>
          <w:u w:val="none"/>
          <w:shd w:val="clear" w:fill="FFFFFF"/>
        </w:rPr>
        <w:fldChar w:fldCharType="begin"/>
      </w:r>
      <w:r>
        <w:rPr>
          <w:rFonts w:hint="eastAsia" w:ascii="Arial" w:hAnsi="Arial" w:eastAsia="宋体" w:cs="Arial"/>
          <w:b w:val="0"/>
          <w:bCs w:val="0"/>
          <w:i w:val="0"/>
          <w:caps w:val="0"/>
          <w:color w:val="136EC2"/>
          <w:spacing w:val="0"/>
          <w:sz w:val="24"/>
          <w:szCs w:val="24"/>
          <w:u w:val="none"/>
          <w:shd w:val="clear" w:fill="FFFFFF"/>
        </w:rPr>
        <w:instrText xml:space="preserve"> HYPERLINK "https://baike.baidu.com/item/%E5%8D%97%E5%8C%97%E6%9C%9D/6417" \t "https://baike.baidu.com/item/%E5%B0%84%E6%B4%AA/_blank" </w:instrText>
      </w:r>
      <w:r>
        <w:rPr>
          <w:rFonts w:hint="eastAsia"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南北朝</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西魏时期，始置射江县，得名源于其境内有射江。于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"https://baike.baidu.com/item/%E5%8C%97%E5%91%A8/913798"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北周</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（557年）改名射洪县，故称“西魏置县，北周正名”。射洪市境内建立县级政权已有1500多年历史。</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2019年8月16日，经报国务院批准，同意撤销射洪县，设立射洪市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。射洪市是中国民间诗画艺术之乡”，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是“全国科技进步示范县”、“全国科普示范县”，</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素有“子昂故里，诗酒之乡”美誉。</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射洪市境内有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"https://baike.baidu.com/item/%E9%99%88%E5%AD%90%E6%98%82%E8%AF%BB%E4%B9%A6%E5%8F%B0/3548978"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陈子昂读书台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"https://baike.baidu.com/item/%E6%A5%9E%E4%B8%A5%E9%98%81/5065393"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楞严阁</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等古迹</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，有硅化木化石群</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"https://baike.baidu.com/item/%E5%9C%B0%E8%B4%A8%E9%81%97%E8%BF%B9/10493833"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地质遗迹</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"https://baike.baidu.com/item/%E5%AD%90%E6%98%82%E6%95%85%E9%87%8C%E6%96%87%E5%8C%96%E6%97%85%E6%B8%B8%E5%8C%BA/5955195"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子昂故里文化旅游区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金华山、</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太和镇磨嘴村乡村旅游示范带、</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桃花山风景区、</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螺湖自然景观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等景点。</w:t>
      </w:r>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2</w:t>
      </w:r>
      <w:r>
        <w:rPr>
          <w:rFonts w:hint="eastAsia" w:ascii="Times New Roman" w:hAnsi="Times New Roman" w:eastAsia="仿宋"/>
          <w:b w:val="0"/>
          <w:bCs w:val="0"/>
          <w:color w:val="000000"/>
          <w:sz w:val="24"/>
          <w:szCs w:val="24"/>
        </w:rPr>
        <w:t>）地形地貌</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射洪市境呈心脏形，西北高，东南低。射洪市为典型的红层</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"https://baike.baidu.com/item/%E4%B8%98%E9%99%B5%E5%9C%B0%E8%B2%8C/15753333"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丘陵地貌</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以丘陵为主，地貌类型有低山、高丘、中丘、低丘、河谷地貌。丘陵地区占89.1%（其中低山地貌占县幅员面积的15.4%，高丘地貌占市幅员面积的35.4%，中丘地貌占市幅员面积的17.3%，低丘地貌占市幅员面积的21%）河谷地貌市幅员面积的10.9%。境内海拔最高点674米（金华镇武东天宝寨），海拔最低点299米（</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"https://baike.baidu.com/item/%E6%B2%B1%E7%89%8C%E9%95%87/10890916"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沱牌镇</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涪江出口处），相对高差375米。</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1" w:firstLineChars="200"/>
        <w:rPr>
          <w:rFonts w:hint="default" w:ascii="Arial" w:hAnsi="Arial" w:eastAsia="宋体" w:cs="Arial"/>
          <w:i w:val="0"/>
          <w:caps w:val="0"/>
          <w:color w:val="333333"/>
          <w:spacing w:val="0"/>
          <w:sz w:val="24"/>
          <w:szCs w:val="24"/>
          <w:shd w:val="clear" w:fill="FFFFFF"/>
          <w:lang w:val="en-US" w:eastAsia="zh-CN"/>
        </w:rPr>
      </w:pPr>
    </w:p>
    <w:p>
      <w:pPr>
        <w:pStyle w:val="5"/>
        <w:spacing w:line="600" w:lineRule="exact"/>
        <w:rPr>
          <w:rFonts w:ascii="Times New Roman" w:hAnsi="Times New Roman" w:eastAsia="仿宋"/>
          <w:sz w:val="24"/>
          <w:szCs w:val="24"/>
        </w:rPr>
      </w:pPr>
      <w:bookmarkStart w:id="7" w:name="_Toc3884551"/>
      <w:r>
        <w:rPr>
          <w:rFonts w:hint="eastAsia" w:ascii="Times New Roman" w:hAnsi="Times New Roman" w:eastAsia="仿宋"/>
          <w:sz w:val="24"/>
          <w:szCs w:val="24"/>
        </w:rPr>
        <w:t>二、农村人居环境整治已有基础条件</w:t>
      </w:r>
      <w:bookmarkEnd w:id="7"/>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（一）农村基础设施路、水、电、气、信、防</w:t>
      </w:r>
      <w:r>
        <w:rPr>
          <w:rFonts w:ascii="Times New Roman" w:hAnsi="Times New Roman" w:eastAsia="仿宋"/>
          <w:sz w:val="24"/>
          <w:szCs w:val="24"/>
        </w:rPr>
        <w:t>“</w:t>
      </w:r>
      <w:r>
        <w:rPr>
          <w:rFonts w:hint="eastAsia" w:ascii="Times New Roman" w:hAnsi="Times New Roman" w:eastAsia="仿宋"/>
          <w:sz w:val="24"/>
          <w:szCs w:val="24"/>
        </w:rPr>
        <w:t>六网</w:t>
      </w:r>
      <w:r>
        <w:rPr>
          <w:rFonts w:ascii="Times New Roman" w:hAnsi="Times New Roman" w:eastAsia="仿宋"/>
          <w:sz w:val="24"/>
          <w:szCs w:val="24"/>
        </w:rPr>
        <w:t>”</w:t>
      </w:r>
      <w:r>
        <w:rPr>
          <w:rFonts w:hint="eastAsia" w:ascii="Times New Roman" w:hAnsi="Times New Roman" w:eastAsia="仿宋"/>
          <w:sz w:val="24"/>
          <w:szCs w:val="24"/>
        </w:rPr>
        <w:t>建设现状</w:t>
      </w:r>
    </w:p>
    <w:p>
      <w:pPr>
        <w:widowControl/>
        <w:spacing w:line="600" w:lineRule="exact"/>
        <w:ind w:firstLine="560" w:firstLineChars="0"/>
        <w:jc w:val="left"/>
        <w:rPr>
          <w:rFonts w:ascii="Times New Roman" w:hAnsi="Times New Roman" w:eastAsia="仿宋"/>
          <w:kern w:val="0"/>
          <w:sz w:val="24"/>
          <w:szCs w:val="24"/>
        </w:rPr>
      </w:pPr>
      <w:r>
        <w:rPr>
          <w:rFonts w:ascii="Times New Roman" w:hAnsi="Times New Roman" w:eastAsia="仿宋"/>
          <w:kern w:val="0"/>
          <w:sz w:val="24"/>
          <w:szCs w:val="24"/>
        </w:rPr>
        <w:t>1</w:t>
      </w:r>
      <w:r>
        <w:rPr>
          <w:rFonts w:hint="eastAsia" w:ascii="Times New Roman" w:hAnsi="Times New Roman" w:eastAsia="仿宋"/>
          <w:kern w:val="0"/>
          <w:sz w:val="24"/>
          <w:szCs w:val="24"/>
        </w:rPr>
        <w:t>、道路</w:t>
      </w:r>
    </w:p>
    <w:p>
      <w:pPr>
        <w:keepNext w:val="0"/>
        <w:keepLines w:val="0"/>
        <w:widowControl/>
        <w:suppressLineNumbers w:val="0"/>
        <w:shd w:val="clear" w:fill="FFFFFF"/>
        <w:spacing w:after="225" w:afterAutospacing="0" w:line="360" w:lineRule="atLeast"/>
        <w:ind w:left="0" w:firstLine="420"/>
        <w:jc w:val="left"/>
        <w:rPr>
          <w:rFonts w:hint="eastAsia"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射洪市公路通车里程2648.9公里（不含高速公路）。已建成</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"https://baike.baidu.com/item/%E7%BB%B5%E9%81%82%E9%AB%98%E9%80%9F/6219417"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绵遂高速</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射洪段，通车里程50公里，开设金华、玉太、市经开区3个出入口。成德南高速射洪段，通车里程6公里。</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"https://baike.baidu.com/item/%E5%9B%BD%E9%81%93/1181044"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国道</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247线（原省道205线）穿市而过（全长53.204公里），达到一级公路技术标准。建设有夏团路（全长30.574公里）、射蓬路（全长28.514公里）、盐射路（全长34.397公里）等十条县道公路，通车里程达267.261公里。建成乡道490.175公里，村道1832.325公里，专用公路5.935公里，实现100%乡镇和100%行政村通水泥（油）路。</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截至2017年底，建成县级客运中心1个，乡镇客运站17个，基本建成射洪市内1小时交通圈。射洪市共有营运客车456辆，其中、高级客运车辆106辆，城市出租汽车239辆，城市公共汽车74辆，货运车辆2238辆。射洪市共有6座涪江大桥，4座梓江大桥。射洪市通航水域总长111.18公里，其中涪江航段75.13公里、梓江航段36.05公里；全市船舶拥有量327艘，乡镇渡口14处，砂石堆料场23处。</w:t>
      </w:r>
    </w:p>
    <w:p>
      <w:pPr>
        <w:widowControl/>
        <w:spacing w:line="600" w:lineRule="exact"/>
        <w:ind w:firstLine="561" w:firstLineChars="0"/>
        <w:jc w:val="left"/>
        <w:rPr>
          <w:rFonts w:ascii="Times New Roman" w:hAnsi="Times New Roman" w:eastAsia="仿宋"/>
          <w:bCs/>
          <w:sz w:val="24"/>
          <w:szCs w:val="24"/>
        </w:rPr>
      </w:pPr>
      <w:r>
        <w:rPr>
          <w:rFonts w:ascii="Times New Roman" w:hAnsi="Times New Roman" w:eastAsia="仿宋"/>
          <w:bCs/>
          <w:sz w:val="24"/>
          <w:szCs w:val="24"/>
        </w:rPr>
        <w:t xml:space="preserve"> 2</w:t>
      </w:r>
      <w:r>
        <w:rPr>
          <w:rFonts w:hint="eastAsia" w:ascii="Times New Roman" w:hAnsi="Times New Roman" w:eastAsia="仿宋"/>
          <w:bCs/>
          <w:sz w:val="24"/>
          <w:szCs w:val="24"/>
        </w:rPr>
        <w:t>、供水</w:t>
      </w:r>
    </w:p>
    <w:p>
      <w:pPr>
        <w:widowControl/>
        <w:spacing w:line="600" w:lineRule="exact"/>
        <w:ind w:firstLine="561" w:firstLineChars="0"/>
        <w:jc w:val="left"/>
        <w:rPr>
          <w:rFonts w:ascii="Times New Roman" w:hAnsi="Times New Roman" w:eastAsia="仿宋"/>
          <w:bCs/>
          <w:sz w:val="24"/>
          <w:szCs w:val="24"/>
        </w:rPr>
      </w:pPr>
      <w:r>
        <w:rPr>
          <w:rFonts w:hint="eastAsia" w:ascii="Times New Roman" w:hAnsi="Times New Roman" w:eastAsia="仿宋"/>
          <w:bCs/>
          <w:sz w:val="24"/>
          <w:szCs w:val="24"/>
          <w:lang w:val="en-US" w:eastAsia="zh-CN"/>
        </w:rPr>
        <w:t>射洪市城区及各个乡镇供水设备完备</w:t>
      </w:r>
      <w:r>
        <w:rPr>
          <w:rFonts w:hint="eastAsia" w:ascii="Times New Roman" w:hAnsi="Times New Roman" w:eastAsia="仿宋"/>
          <w:bCs/>
          <w:sz w:val="24"/>
          <w:szCs w:val="24"/>
        </w:rPr>
        <w:t>。</w:t>
      </w:r>
    </w:p>
    <w:p>
      <w:pPr>
        <w:adjustRightInd w:val="0"/>
        <w:spacing w:line="600" w:lineRule="exact"/>
        <w:ind w:firstLine="560"/>
        <w:rPr>
          <w:rFonts w:ascii="Times New Roman" w:hAnsi="Times New Roman" w:eastAsia="仿宋"/>
          <w:bCs/>
          <w:sz w:val="24"/>
          <w:szCs w:val="24"/>
        </w:rPr>
      </w:pPr>
      <w:r>
        <w:rPr>
          <w:rFonts w:ascii="Times New Roman" w:hAnsi="Times New Roman" w:eastAsia="仿宋"/>
          <w:bCs/>
          <w:sz w:val="24"/>
          <w:szCs w:val="24"/>
        </w:rPr>
        <w:t>3</w:t>
      </w:r>
      <w:r>
        <w:rPr>
          <w:rFonts w:hint="eastAsia" w:ascii="Times New Roman" w:hAnsi="Times New Roman" w:eastAsia="仿宋"/>
          <w:bCs/>
          <w:sz w:val="24"/>
          <w:szCs w:val="24"/>
        </w:rPr>
        <w:t>、供电</w:t>
      </w:r>
    </w:p>
    <w:p>
      <w:pPr>
        <w:spacing w:line="600" w:lineRule="exact"/>
        <w:ind w:firstLine="560"/>
        <w:rPr>
          <w:rFonts w:ascii="Times New Roman" w:hAnsi="Times New Roman" w:eastAsia="仿宋"/>
          <w:bCs/>
          <w:sz w:val="24"/>
          <w:szCs w:val="24"/>
        </w:rPr>
      </w:pPr>
      <w:r>
        <w:rPr>
          <w:rFonts w:hint="eastAsia" w:ascii="Times New Roman" w:hAnsi="Times New Roman" w:eastAsia="仿宋"/>
          <w:sz w:val="24"/>
          <w:szCs w:val="24"/>
          <w:lang w:val="en-US" w:eastAsia="zh-CN"/>
        </w:rPr>
        <w:t>射洪市供电完备</w:t>
      </w:r>
      <w:r>
        <w:rPr>
          <w:rFonts w:hint="eastAsia" w:ascii="Times New Roman" w:hAnsi="Times New Roman" w:eastAsia="仿宋"/>
          <w:bCs/>
          <w:sz w:val="24"/>
          <w:szCs w:val="24"/>
        </w:rPr>
        <w:t>。</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4</w:t>
      </w:r>
      <w:r>
        <w:rPr>
          <w:rFonts w:hint="eastAsia" w:ascii="Times New Roman" w:hAnsi="Times New Roman" w:eastAsia="仿宋"/>
          <w:bCs/>
          <w:sz w:val="24"/>
          <w:szCs w:val="24"/>
        </w:rPr>
        <w:t>、通气</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全县部分乡村已通天然气。</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5</w:t>
      </w:r>
      <w:r>
        <w:rPr>
          <w:rFonts w:hint="eastAsia" w:ascii="Times New Roman" w:hAnsi="Times New Roman" w:eastAsia="仿宋"/>
          <w:bCs/>
          <w:sz w:val="24"/>
          <w:szCs w:val="24"/>
        </w:rPr>
        <w:t>、通信</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lang w:val="en-US" w:eastAsia="zh-CN"/>
        </w:rPr>
        <w:t>射洪市全市</w:t>
      </w:r>
      <w:r>
        <w:rPr>
          <w:rFonts w:hint="eastAsia" w:ascii="Times New Roman" w:hAnsi="Times New Roman" w:eastAsia="仿宋"/>
          <w:bCs/>
          <w:sz w:val="24"/>
          <w:szCs w:val="24"/>
        </w:rPr>
        <w:t>实现了</w:t>
      </w:r>
      <w:r>
        <w:rPr>
          <w:rFonts w:ascii="Times New Roman" w:hAnsi="Times New Roman" w:eastAsia="仿宋"/>
          <w:bCs/>
          <w:sz w:val="24"/>
          <w:szCs w:val="24"/>
        </w:rPr>
        <w:t>4G</w:t>
      </w:r>
      <w:r>
        <w:rPr>
          <w:rFonts w:hint="eastAsia" w:ascii="Times New Roman" w:hAnsi="Times New Roman" w:eastAsia="仿宋"/>
          <w:bCs/>
          <w:sz w:val="24"/>
          <w:szCs w:val="24"/>
        </w:rPr>
        <w:t>网络全覆盖，宽带通达所有行政村。</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6</w:t>
      </w:r>
      <w:r>
        <w:rPr>
          <w:rFonts w:hint="eastAsia" w:ascii="Times New Roman" w:hAnsi="Times New Roman" w:eastAsia="仿宋"/>
          <w:bCs/>
          <w:sz w:val="24"/>
          <w:szCs w:val="24"/>
        </w:rPr>
        <w:t>、防汛</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认真贯彻落实</w:t>
      </w:r>
      <w:r>
        <w:rPr>
          <w:rFonts w:ascii="Times New Roman" w:hAnsi="Times New Roman" w:eastAsia="仿宋"/>
          <w:bCs/>
          <w:sz w:val="24"/>
          <w:szCs w:val="24"/>
        </w:rPr>
        <w:t>“</w:t>
      </w:r>
      <w:r>
        <w:rPr>
          <w:rFonts w:hint="eastAsia" w:ascii="Times New Roman" w:hAnsi="Times New Roman" w:eastAsia="仿宋"/>
          <w:bCs/>
          <w:sz w:val="24"/>
          <w:szCs w:val="24"/>
        </w:rPr>
        <w:t>安全第一、常备不懈、预防为主、全力抢险</w:t>
      </w:r>
      <w:r>
        <w:rPr>
          <w:rFonts w:ascii="Times New Roman" w:hAnsi="Times New Roman" w:eastAsia="仿宋"/>
          <w:bCs/>
          <w:sz w:val="24"/>
          <w:szCs w:val="24"/>
        </w:rPr>
        <w:t>”</w:t>
      </w:r>
      <w:r>
        <w:rPr>
          <w:rFonts w:hint="eastAsia" w:ascii="Times New Roman" w:hAnsi="Times New Roman" w:eastAsia="仿宋"/>
          <w:bCs/>
          <w:sz w:val="24"/>
          <w:szCs w:val="24"/>
        </w:rPr>
        <w:t>的防洪方针，落实行政首长防汛责任制和各级岗位责任制，落实防汛措施。</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（二）农村生活垃圾治理现状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全县积极开展城乡生活垃圾处理设施三年行动和排查整治。按照</w:t>
      </w:r>
      <w:r>
        <w:rPr>
          <w:rFonts w:ascii="Times New Roman" w:hAnsi="Times New Roman" w:eastAsia="仿宋"/>
          <w:bCs/>
          <w:sz w:val="24"/>
          <w:szCs w:val="24"/>
        </w:rPr>
        <w:t>“</w:t>
      </w:r>
      <w:r>
        <w:rPr>
          <w:rFonts w:hint="eastAsia" w:ascii="Times New Roman" w:hAnsi="Times New Roman" w:eastAsia="仿宋"/>
          <w:bCs/>
          <w:sz w:val="24"/>
          <w:szCs w:val="24"/>
        </w:rPr>
        <w:t>扫干净，摆整齐</w:t>
      </w:r>
      <w:r>
        <w:rPr>
          <w:rFonts w:ascii="Times New Roman" w:hAnsi="Times New Roman" w:eastAsia="仿宋"/>
          <w:bCs/>
          <w:sz w:val="24"/>
          <w:szCs w:val="24"/>
        </w:rPr>
        <w:t>”</w:t>
      </w:r>
      <w:r>
        <w:rPr>
          <w:rFonts w:hint="eastAsia" w:ascii="Times New Roman" w:hAnsi="Times New Roman" w:eastAsia="仿宋"/>
          <w:bCs/>
          <w:sz w:val="24"/>
          <w:szCs w:val="24"/>
        </w:rPr>
        <w:t>要求，持续加大村庄庭院环境治理力度，共整治规范庭院杂物乱堆放</w:t>
      </w:r>
      <w:r>
        <w:rPr>
          <w:rFonts w:ascii="Times New Roman" w:hAnsi="Times New Roman" w:eastAsia="仿宋"/>
          <w:bCs/>
          <w:sz w:val="24"/>
          <w:szCs w:val="24"/>
          <w:u w:color="FF0000"/>
        </w:rPr>
        <w:t>4930</w:t>
      </w:r>
      <w:r>
        <w:rPr>
          <w:rFonts w:hint="eastAsia" w:ascii="Times New Roman" w:hAnsi="Times New Roman" w:eastAsia="仿宋"/>
          <w:bCs/>
          <w:sz w:val="24"/>
          <w:szCs w:val="24"/>
        </w:rPr>
        <w:t>余处，清除积存垃圾</w:t>
      </w:r>
      <w:r>
        <w:rPr>
          <w:rFonts w:ascii="Times New Roman" w:hAnsi="Times New Roman" w:eastAsia="仿宋"/>
          <w:bCs/>
          <w:sz w:val="24"/>
          <w:szCs w:val="24"/>
          <w:u w:color="FF0000"/>
        </w:rPr>
        <w:t>14250</w:t>
      </w:r>
      <w:r>
        <w:rPr>
          <w:rFonts w:hint="eastAsia" w:ascii="Times New Roman" w:hAnsi="Times New Roman" w:eastAsia="仿宋"/>
          <w:bCs/>
          <w:sz w:val="24"/>
          <w:szCs w:val="24"/>
        </w:rPr>
        <w:t>余吨。目前已配保洁员</w:t>
      </w:r>
      <w:r>
        <w:rPr>
          <w:rFonts w:ascii="Times New Roman" w:hAnsi="Times New Roman" w:eastAsia="仿宋"/>
          <w:bCs/>
          <w:sz w:val="24"/>
          <w:szCs w:val="24"/>
          <w:u w:val="single" w:color="FFFFFF"/>
        </w:rPr>
        <w:t>1551</w:t>
      </w:r>
      <w:r>
        <w:rPr>
          <w:rFonts w:hint="eastAsia" w:ascii="Times New Roman" w:hAnsi="Times New Roman" w:eastAsia="仿宋"/>
          <w:bCs/>
          <w:sz w:val="24"/>
          <w:szCs w:val="24"/>
          <w:u w:val="single" w:color="FFFFFF"/>
        </w:rPr>
        <w:t>人</w:t>
      </w:r>
      <w:r>
        <w:rPr>
          <w:rFonts w:hint="eastAsia" w:ascii="Times New Roman" w:hAnsi="Times New Roman" w:eastAsia="仿宋"/>
          <w:bCs/>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（三）农村生活污水现状</w:t>
      </w:r>
    </w:p>
    <w:p>
      <w:pPr>
        <w:spacing w:line="600" w:lineRule="exact"/>
        <w:ind w:firstLine="560"/>
        <w:rPr>
          <w:rFonts w:ascii="Times New Roman" w:hAnsi="Times New Roman" w:eastAsia="仿宋"/>
          <w:bCs/>
          <w:color w:val="000000"/>
          <w:sz w:val="24"/>
          <w:szCs w:val="24"/>
        </w:rPr>
      </w:pPr>
      <w:r>
        <w:rPr>
          <w:rFonts w:hint="eastAsia" w:ascii="Times New Roman" w:hAnsi="Times New Roman" w:eastAsia="仿宋"/>
          <w:bCs/>
          <w:sz w:val="24"/>
          <w:szCs w:val="24"/>
        </w:rPr>
        <w:t>本</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农村每年产生生活污水大概有</w:t>
      </w:r>
      <w:r>
        <w:rPr>
          <w:rFonts w:ascii="Times New Roman" w:hAnsi="Times New Roman" w:eastAsia="仿宋"/>
          <w:bCs/>
          <w:sz w:val="24"/>
          <w:szCs w:val="24"/>
        </w:rPr>
        <w:t>1000</w:t>
      </w:r>
      <w:r>
        <w:rPr>
          <w:rFonts w:hint="eastAsia" w:ascii="Times New Roman" w:hAnsi="Times New Roman" w:eastAsia="仿宋"/>
          <w:bCs/>
          <w:sz w:val="24"/>
          <w:szCs w:val="24"/>
        </w:rPr>
        <w:t>万吨</w:t>
      </w:r>
      <w:r>
        <w:rPr>
          <w:rFonts w:ascii="Times New Roman" w:hAnsi="Times New Roman" w:eastAsia="仿宋"/>
          <w:bCs/>
          <w:sz w:val="24"/>
          <w:szCs w:val="24"/>
        </w:rPr>
        <w:t>,</w:t>
      </w:r>
      <w:r>
        <w:rPr>
          <w:rFonts w:hint="eastAsia" w:ascii="Times New Roman" w:hAnsi="Times New Roman" w:eastAsia="仿宋"/>
          <w:bCs/>
          <w:sz w:val="24"/>
          <w:szCs w:val="24"/>
        </w:rPr>
        <w:t>污水来源主要集中在冲洗卫生间的粪便污水、洗浴污水、洗衣污水以及厨房的洗涤污水。</w:t>
      </w:r>
      <w:r>
        <w:rPr>
          <w:rFonts w:ascii="Times New Roman" w:hAnsi="Times New Roman" w:eastAsia="仿宋"/>
          <w:bCs/>
          <w:color w:val="000000"/>
          <w:sz w:val="24"/>
          <w:szCs w:val="24"/>
        </w:rPr>
        <w:t>2017</w:t>
      </w:r>
      <w:r>
        <w:rPr>
          <w:rFonts w:hint="eastAsia" w:ascii="Times New Roman" w:hAnsi="Times New Roman" w:eastAsia="仿宋"/>
          <w:bCs/>
          <w:color w:val="000000"/>
          <w:sz w:val="24"/>
          <w:szCs w:val="24"/>
        </w:rPr>
        <w:t>年至</w:t>
      </w: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年通过实施污水收集和增添部分小型污水处理设施的措施进行了</w:t>
      </w:r>
      <w:r>
        <w:rPr>
          <w:rFonts w:hint="eastAsia" w:ascii="Times New Roman" w:hAnsi="Times New Roman" w:eastAsia="仿宋"/>
          <w:bCs/>
          <w:color w:val="000000"/>
          <w:sz w:val="24"/>
          <w:szCs w:val="24"/>
          <w:lang w:val="en-US" w:eastAsia="zh-CN"/>
        </w:rPr>
        <w:t>多</w:t>
      </w:r>
      <w:r>
        <w:rPr>
          <w:rFonts w:hint="eastAsia" w:ascii="Times New Roman" w:hAnsi="Times New Roman" w:eastAsia="仿宋"/>
          <w:bCs/>
          <w:color w:val="000000"/>
          <w:sz w:val="24"/>
          <w:szCs w:val="24"/>
        </w:rPr>
        <w:t>个中心村污水处理。</w:t>
      </w:r>
    </w:p>
    <w:p>
      <w:pPr>
        <w:spacing w:line="600" w:lineRule="exact"/>
        <w:ind w:firstLine="560"/>
        <w:outlineLvl w:val="3"/>
        <w:rPr>
          <w:rFonts w:ascii="Times New Roman" w:hAnsi="Times New Roman" w:eastAsia="仿宋"/>
          <w:color w:val="000000"/>
          <w:sz w:val="24"/>
          <w:szCs w:val="24"/>
        </w:rPr>
      </w:pPr>
      <w:r>
        <w:rPr>
          <w:rFonts w:hint="eastAsia" w:ascii="Times New Roman" w:hAnsi="Times New Roman" w:eastAsia="仿宋"/>
          <w:color w:val="000000"/>
          <w:sz w:val="24"/>
          <w:szCs w:val="24"/>
        </w:rPr>
        <w:t>（四）农村厕所现状</w:t>
      </w:r>
    </w:p>
    <w:p>
      <w:pPr>
        <w:spacing w:line="600" w:lineRule="exact"/>
        <w:ind w:firstLine="560"/>
        <w:rPr>
          <w:rFonts w:ascii="Times New Roman" w:hAnsi="Times New Roman" w:eastAsia="仿宋"/>
          <w:bCs/>
          <w:color w:val="000000"/>
          <w:sz w:val="24"/>
          <w:szCs w:val="24"/>
        </w:rPr>
      </w:pP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年，全</w:t>
      </w:r>
      <w:r>
        <w:rPr>
          <w:rFonts w:hint="eastAsia" w:ascii="Times New Roman" w:hAnsi="Times New Roman" w:eastAsia="仿宋"/>
          <w:bCs/>
          <w:color w:val="000000"/>
          <w:sz w:val="24"/>
          <w:szCs w:val="24"/>
          <w:lang w:val="en-US" w:eastAsia="zh-CN"/>
        </w:rPr>
        <w:t>市</w:t>
      </w:r>
      <w:r>
        <w:rPr>
          <w:rFonts w:hint="eastAsia" w:ascii="Times New Roman" w:hAnsi="Times New Roman" w:eastAsia="仿宋"/>
          <w:bCs/>
          <w:color w:val="000000"/>
          <w:sz w:val="24"/>
          <w:szCs w:val="24"/>
        </w:rPr>
        <w:t>结合贫困户易地搬迁、农村危房改造、土坯房改造等项目的实施，全力推进</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厕所革命</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（五）村容村貌现状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积极推进乡村振兴项目。</w:t>
      </w:r>
    </w:p>
    <w:p>
      <w:pPr>
        <w:pStyle w:val="5"/>
        <w:spacing w:line="600" w:lineRule="exact"/>
        <w:rPr>
          <w:rFonts w:ascii="Times New Roman" w:hAnsi="Times New Roman" w:eastAsia="仿宋"/>
          <w:sz w:val="24"/>
          <w:szCs w:val="24"/>
        </w:rPr>
      </w:pPr>
      <w:bookmarkStart w:id="8" w:name="_Toc3884552"/>
      <w:r>
        <w:rPr>
          <w:rFonts w:hint="eastAsia" w:ascii="Times New Roman" w:hAnsi="Times New Roman" w:eastAsia="仿宋"/>
          <w:sz w:val="24"/>
          <w:szCs w:val="24"/>
        </w:rPr>
        <w:t>三、农村人居环境面临的问题</w:t>
      </w:r>
      <w:bookmarkEnd w:id="8"/>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（一）农村生活垃圾面临的问题</w:t>
      </w:r>
    </w:p>
    <w:p>
      <w:pPr>
        <w:pStyle w:val="63"/>
        <w:spacing w:line="600" w:lineRule="exact"/>
        <w:ind w:firstLine="720" w:firstLineChars="300"/>
        <w:rPr>
          <w:rFonts w:ascii="Times New Roman" w:hAnsi="Times New Roman" w:eastAsia="仿宋"/>
          <w:bCs/>
          <w:sz w:val="24"/>
          <w:szCs w:val="24"/>
        </w:rPr>
      </w:pPr>
      <w:r>
        <w:rPr>
          <w:rFonts w:hint="eastAsia" w:ascii="Times New Roman" w:hAnsi="Times New Roman" w:eastAsia="仿宋"/>
          <w:color w:val="000000"/>
          <w:sz w:val="24"/>
          <w:szCs w:val="24"/>
        </w:rPr>
        <w:t>农村生活垃圾治理问题</w:t>
      </w:r>
      <w:r>
        <w:rPr>
          <w:rFonts w:hint="eastAsia" w:ascii="Times New Roman" w:hAnsi="Times New Roman" w:eastAsia="仿宋"/>
          <w:bCs/>
          <w:sz w:val="24"/>
          <w:szCs w:val="24"/>
        </w:rPr>
        <w:t>村民整体环保意识较差、参与性不够。农村生活垃圾处置现状都存在政府大包大揽，村民配合积极性不高，共同参与面不大的问题。垃圾收集设施破损陈旧。目前部分镇乡压缩式垃圾中转站容量不足、设备需要更新；部分镇乡垃圾屋（池）年久失修，破损严重，不能适应新时期农村生活垃圾治理的要求。垃圾中转运输车辆落后，多以开敞式三轮车、农用运输车为主，无专业的垃圾中转运输车辆，运输途中容易造成二次污染。垃圾收集屋（池）和中转运输车辆数量配备不足，分布不均，不能满足人民群众日益增长的物质文化生活的需求。</w:t>
      </w:r>
      <w:r>
        <w:rPr>
          <w:rFonts w:hint="eastAsia" w:ascii="Times New Roman" w:hAnsi="Times New Roman" w:eastAsia="仿宋"/>
          <w:sz w:val="24"/>
          <w:szCs w:val="24"/>
        </w:rPr>
        <w:t>村两委基本无农村生活垃圾投入，村民垃圾处理费用难以收取。由于以上原因，导致一些镇（乡）村环境卫生保洁设施建设和设备配置及运行维护资金难以得到保障，资金保障问题成为了持续深入推进农村生活垃圾治理的最大障碍。</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（二）农村生活污水面临的问题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农村污水处理设施覆盖面不足，污水收集处理率不高；农村污水设施欠缺，污水处理量不够；部分污水进入自然水体后造成污染。</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（三）农村厕所面临的问题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各镇（乡）的发展不平衡，积极性高的，经济条件好的乡村卫生厕所普及率较高，反之则低；居民使用卫生厕所对于保护健康和对使用卫生厕所的认识不足；少数改厕改建不规范，致使达不到粪便无害化处理的要求。</w:t>
      </w:r>
      <w:r>
        <w:rPr>
          <w:rFonts w:hint="eastAsia" w:ascii="Times New Roman" w:hAnsi="Times New Roman" w:eastAsia="仿宋"/>
          <w:color w:val="000000"/>
          <w:sz w:val="24"/>
          <w:szCs w:val="24"/>
        </w:rPr>
        <w:t>截止</w:t>
      </w:r>
      <w:r>
        <w:rPr>
          <w:rFonts w:ascii="Times New Roman" w:hAnsi="Times New Roman" w:eastAsia="仿宋"/>
          <w:color w:val="000000"/>
          <w:sz w:val="24"/>
          <w:szCs w:val="24"/>
        </w:rPr>
        <w:t>2018</w:t>
      </w:r>
      <w:r>
        <w:rPr>
          <w:rFonts w:hint="eastAsia" w:ascii="Times New Roman" w:hAnsi="Times New Roman" w:eastAsia="仿宋"/>
          <w:color w:val="000000"/>
          <w:sz w:val="24"/>
          <w:szCs w:val="24"/>
        </w:rPr>
        <w:t>年，全</w:t>
      </w:r>
      <w:r>
        <w:rPr>
          <w:rFonts w:hint="eastAsia" w:ascii="Times New Roman" w:hAnsi="Times New Roman" w:eastAsia="仿宋"/>
          <w:color w:val="000000"/>
          <w:sz w:val="24"/>
          <w:szCs w:val="24"/>
          <w:lang w:val="en-US" w:eastAsia="zh-CN"/>
        </w:rPr>
        <w:t>市</w:t>
      </w:r>
      <w:r>
        <w:rPr>
          <w:rFonts w:hint="eastAsia" w:ascii="Times New Roman" w:hAnsi="Times New Roman" w:eastAsia="仿宋"/>
          <w:color w:val="000000"/>
          <w:sz w:val="24"/>
          <w:szCs w:val="24"/>
        </w:rPr>
        <w:t>农村户用卫生厕所普及率达到</w:t>
      </w:r>
      <w:r>
        <w:rPr>
          <w:rFonts w:ascii="Times New Roman" w:hAnsi="Times New Roman" w:eastAsia="仿宋"/>
          <w:color w:val="000000"/>
          <w:sz w:val="24"/>
          <w:szCs w:val="24"/>
        </w:rPr>
        <w:t>65.06%</w:t>
      </w:r>
      <w:r>
        <w:rPr>
          <w:rFonts w:hint="eastAsia" w:ascii="Times New Roman" w:hAnsi="Times New Roman" w:eastAsia="仿宋"/>
          <w:color w:val="000000"/>
          <w:sz w:val="24"/>
          <w:szCs w:val="24"/>
        </w:rPr>
        <w:t>，距离创建人居环境整治先进县还有一定差距，需进一步争创。</w:t>
      </w:r>
    </w:p>
    <w:p>
      <w:pPr>
        <w:pStyle w:val="4"/>
        <w:spacing w:line="600" w:lineRule="exact"/>
        <w:ind w:firstLine="0" w:firstLineChars="0"/>
        <w:jc w:val="center"/>
        <w:rPr>
          <w:rFonts w:ascii="Times New Roman" w:hAnsi="Times New Roman" w:eastAsia="仿宋"/>
          <w:b/>
          <w:bCs/>
          <w:color w:val="000000"/>
          <w:sz w:val="24"/>
          <w:szCs w:val="24"/>
        </w:rPr>
      </w:pPr>
      <w:bookmarkStart w:id="9" w:name="_Toc3884553"/>
      <w:r>
        <w:rPr>
          <w:rFonts w:hint="eastAsia" w:ascii="Times New Roman" w:hAnsi="Times New Roman" w:eastAsia="仿宋"/>
          <w:b/>
          <w:bCs/>
          <w:color w:val="000000"/>
          <w:sz w:val="24"/>
          <w:szCs w:val="24"/>
        </w:rPr>
        <w:t>第三章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总体要求</w:t>
      </w:r>
      <w:bookmarkEnd w:id="9"/>
    </w:p>
    <w:p>
      <w:pPr>
        <w:pStyle w:val="5"/>
        <w:spacing w:line="600" w:lineRule="exact"/>
        <w:rPr>
          <w:rFonts w:ascii="Times New Roman" w:hAnsi="Times New Roman" w:eastAsia="仿宋"/>
          <w:sz w:val="24"/>
          <w:szCs w:val="24"/>
        </w:rPr>
      </w:pPr>
      <w:bookmarkStart w:id="10" w:name="_Toc3884554"/>
      <w:r>
        <w:rPr>
          <w:rFonts w:hint="eastAsia" w:ascii="Times New Roman" w:hAnsi="Times New Roman" w:eastAsia="仿宋"/>
          <w:sz w:val="24"/>
          <w:szCs w:val="24"/>
        </w:rPr>
        <w:t>一、指导思想</w:t>
      </w:r>
      <w:bookmarkEnd w:id="10"/>
    </w:p>
    <w:p>
      <w:pPr>
        <w:spacing w:line="600" w:lineRule="exact"/>
        <w:ind w:firstLine="560"/>
        <w:rPr>
          <w:rFonts w:ascii="Times New Roman" w:hAnsi="Times New Roman" w:eastAsia="仿宋"/>
          <w:color w:val="FF0000"/>
          <w:sz w:val="24"/>
          <w:szCs w:val="24"/>
        </w:rPr>
      </w:pPr>
      <w:r>
        <w:rPr>
          <w:rFonts w:hint="eastAsia" w:ascii="Times New Roman" w:hAnsi="Times New Roman" w:eastAsia="仿宋"/>
          <w:color w:val="000000"/>
          <w:sz w:val="24"/>
          <w:szCs w:val="24"/>
        </w:rPr>
        <w:t>坚持以习近平新时代中国特色社会主义思想为指导，全面贯彻党的十九大精神，深入学习贯彻习近平总书记对四川工作系列重要指示精神，认真落实省委十一届三次、四次全会和全省乡村振兴大会精神，全面落实省委农村工作会议暨全省农村人居环境整治推进大会，大力实施乡村振兴战略，以建设美丽宜居村庄为导向，以农村垃圾、污水治理、厕所改造为主攻方向，加快补齐农村人居环境突出短板，推进</w:t>
      </w:r>
      <w:r>
        <w:rPr>
          <w:rFonts w:ascii="Times New Roman" w:hAnsi="Times New Roman" w:eastAsia="仿宋"/>
          <w:color w:val="000000"/>
          <w:sz w:val="24"/>
          <w:szCs w:val="24"/>
        </w:rPr>
        <w:t>“</w:t>
      </w:r>
      <w:r>
        <w:rPr>
          <w:rFonts w:hint="eastAsia" w:ascii="Times New Roman" w:hAnsi="Times New Roman" w:eastAsia="仿宋"/>
          <w:color w:val="000000"/>
          <w:sz w:val="24"/>
          <w:szCs w:val="24"/>
        </w:rPr>
        <w:t>美丽大英</w:t>
      </w:r>
      <w:r>
        <w:rPr>
          <w:rFonts w:ascii="Times New Roman" w:hAnsi="Times New Roman" w:eastAsia="仿宋"/>
          <w:color w:val="000000"/>
          <w:sz w:val="24"/>
          <w:szCs w:val="24"/>
        </w:rPr>
        <w:t>˙</w:t>
      </w:r>
      <w:r>
        <w:rPr>
          <w:rFonts w:hint="eastAsia" w:ascii="Times New Roman" w:hAnsi="Times New Roman" w:eastAsia="仿宋"/>
          <w:color w:val="000000"/>
          <w:sz w:val="24"/>
          <w:szCs w:val="24"/>
        </w:rPr>
        <w:t>宜居乡村</w:t>
      </w:r>
      <w:r>
        <w:rPr>
          <w:rFonts w:ascii="Times New Roman" w:hAnsi="Times New Roman" w:eastAsia="仿宋"/>
          <w:color w:val="000000"/>
          <w:sz w:val="24"/>
          <w:szCs w:val="24"/>
        </w:rPr>
        <w:t>”</w:t>
      </w:r>
      <w:r>
        <w:rPr>
          <w:rFonts w:hint="eastAsia" w:ascii="Times New Roman" w:hAnsi="Times New Roman" w:eastAsia="仿宋"/>
          <w:color w:val="000000"/>
          <w:sz w:val="24"/>
          <w:szCs w:val="24"/>
        </w:rPr>
        <w:t>农村人居环境整治，为打好实施乡村振兴战略第一仗、实现乡村振兴目标、全面建成小康社会打下坚实基础。</w:t>
      </w:r>
    </w:p>
    <w:p>
      <w:pPr>
        <w:pStyle w:val="5"/>
        <w:spacing w:line="600" w:lineRule="exact"/>
        <w:rPr>
          <w:rFonts w:ascii="Times New Roman" w:hAnsi="Times New Roman" w:eastAsia="仿宋"/>
          <w:sz w:val="24"/>
          <w:szCs w:val="24"/>
        </w:rPr>
      </w:pPr>
      <w:bookmarkStart w:id="11" w:name="_Toc3884555"/>
      <w:r>
        <w:rPr>
          <w:rFonts w:hint="eastAsia" w:ascii="Times New Roman" w:hAnsi="Times New Roman" w:eastAsia="仿宋"/>
          <w:sz w:val="24"/>
          <w:szCs w:val="24"/>
        </w:rPr>
        <w:t>二、基本原则</w:t>
      </w:r>
      <w:bookmarkEnd w:id="11"/>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（一）因地制宜、分类指导</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结合实际科学制定各项目标任务和工作重点，分类指导推进农村人居环境整治工作，既尽力而为又量力而行，防止生搬硬套和</w:t>
      </w:r>
      <w:r>
        <w:rPr>
          <w:rFonts w:ascii="Times New Roman" w:hAnsi="Times New Roman" w:eastAsia="仿宋"/>
          <w:color w:val="000000"/>
          <w:sz w:val="24"/>
          <w:szCs w:val="24"/>
        </w:rPr>
        <w:t>“</w:t>
      </w:r>
      <w:r>
        <w:rPr>
          <w:rFonts w:hint="eastAsia" w:ascii="Times New Roman" w:hAnsi="Times New Roman" w:eastAsia="仿宋"/>
          <w:color w:val="000000"/>
          <w:sz w:val="24"/>
          <w:szCs w:val="24"/>
        </w:rPr>
        <w:t>一刀切</w:t>
      </w:r>
      <w:r>
        <w:rPr>
          <w:rFonts w:ascii="Times New Roman" w:hAnsi="Times New Roman" w:eastAsia="仿宋"/>
          <w:color w:val="000000"/>
          <w:sz w:val="24"/>
          <w:szCs w:val="24"/>
        </w:rPr>
        <w:t>”</w:t>
      </w:r>
      <w:r>
        <w:rPr>
          <w:rFonts w:hint="eastAsia" w:ascii="Times New Roman" w:hAnsi="Times New Roman" w:eastAsia="仿宋"/>
          <w:color w:val="000000"/>
          <w:sz w:val="24"/>
          <w:szCs w:val="24"/>
        </w:rPr>
        <w:t>。确定实施易地搬迁的村庄、拟调整的空心村等可不列入整治范围。</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（二）突出重点、有序推进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集中力量解决突出问题，聚焦垃圾污水治理、厕所改造和村容村貌提升等重点任务。坚持先易后难、先点后面，积极开展试点示范探索推广经验，合理安排整治任务和建设时序。</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（三）注重保护、留住乡愁</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坚持将生态保护与文化传承贯穿农村人居环境整治全过程，慎砍树、禁挖山、不填湖、少拆房，保护乡情美景，注重乡土味道。强化乡村历史记忆、地域特色与民族特征，综合提升田水路林村风貌，促进人与自然和谐共生、村庄形态与自然环境相得益彰。</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（四）村民主体、激发动力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尊重村民意愿，根据村民需求合理确定整治优先顺序和标准。坚持共同缔造理念，建立政府、村集体、村民等多方共建共管机制，充分激发调动村民自觉性、积极性与主动性，鼓励村民全程参与人居环境整治项目规划、建设、管理和监督，保障村民决策权、参与权、监督权。</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（五）建管并重、长效运行</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坚持先建机制、后建工程，合理确定投融资模式和运行管护方式，推进投融资体制机制和建设管护机制创新，探索规模化、专业化、社会化运营机制，确保各类设施建成并长期稳定运行。</w:t>
      </w:r>
    </w:p>
    <w:p>
      <w:pPr>
        <w:pStyle w:val="5"/>
        <w:spacing w:line="600" w:lineRule="exact"/>
        <w:rPr>
          <w:rFonts w:ascii="Times New Roman" w:hAnsi="Times New Roman" w:eastAsia="仿宋"/>
          <w:sz w:val="24"/>
          <w:szCs w:val="24"/>
        </w:rPr>
      </w:pPr>
      <w:bookmarkStart w:id="12" w:name="_Toc3884556"/>
      <w:r>
        <w:rPr>
          <w:rFonts w:hint="eastAsia" w:ascii="Times New Roman" w:hAnsi="Times New Roman" w:eastAsia="仿宋"/>
          <w:sz w:val="24"/>
          <w:szCs w:val="24"/>
        </w:rPr>
        <w:t>三、目标任务</w:t>
      </w:r>
      <w:bookmarkEnd w:id="12"/>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（一）总体目标</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年，实现农村人居环境明显改善，全域开展</w:t>
      </w:r>
      <w:r>
        <w:rPr>
          <w:rFonts w:ascii="Times New Roman" w:hAnsi="Times New Roman" w:eastAsia="仿宋"/>
          <w:sz w:val="24"/>
          <w:szCs w:val="24"/>
        </w:rPr>
        <w:t>“</w:t>
      </w:r>
      <w:r>
        <w:rPr>
          <w:rFonts w:hint="eastAsia" w:ascii="Times New Roman" w:hAnsi="Times New Roman" w:eastAsia="仿宋"/>
          <w:sz w:val="24"/>
          <w:szCs w:val="24"/>
        </w:rPr>
        <w:t>三清两改一提升</w:t>
      </w:r>
      <w:r>
        <w:rPr>
          <w:rFonts w:ascii="Times New Roman" w:hAnsi="Times New Roman" w:eastAsia="仿宋"/>
          <w:sz w:val="24"/>
          <w:szCs w:val="24"/>
        </w:rPr>
        <w:t>”</w:t>
      </w:r>
      <w:r>
        <w:rPr>
          <w:rFonts w:hint="eastAsia" w:ascii="Times New Roman" w:hAnsi="Times New Roman" w:eastAsia="仿宋"/>
          <w:sz w:val="24"/>
          <w:szCs w:val="24"/>
        </w:rPr>
        <w:t>村庄清洁行动，建立</w:t>
      </w:r>
      <w:r>
        <w:rPr>
          <w:rFonts w:ascii="Times New Roman" w:hAnsi="Times New Roman" w:eastAsia="仿宋"/>
          <w:sz w:val="24"/>
          <w:szCs w:val="24"/>
        </w:rPr>
        <w:t>“</w:t>
      </w:r>
      <w:r>
        <w:rPr>
          <w:rFonts w:hint="eastAsia" w:ascii="Times New Roman" w:hAnsi="Times New Roman" w:eastAsia="仿宋"/>
          <w:sz w:val="24"/>
          <w:szCs w:val="24"/>
        </w:rPr>
        <w:t>户分类、村收集、镇运输、县处理</w:t>
      </w:r>
      <w:r>
        <w:rPr>
          <w:rFonts w:ascii="Times New Roman" w:hAnsi="Times New Roman" w:eastAsia="仿宋"/>
          <w:sz w:val="24"/>
          <w:szCs w:val="24"/>
        </w:rPr>
        <w:t>”</w:t>
      </w:r>
      <w:r>
        <w:rPr>
          <w:rFonts w:hint="eastAsia" w:ascii="Times New Roman" w:hAnsi="Times New Roman" w:eastAsia="仿宋"/>
          <w:sz w:val="24"/>
          <w:szCs w:val="24"/>
        </w:rPr>
        <w:t>垃圾收运处置模式，村庄环境基本干净整洁有序，村民环境与健康意识普遍增强。力争实现</w:t>
      </w:r>
      <w:r>
        <w:rPr>
          <w:rFonts w:ascii="Times New Roman" w:hAnsi="Times New Roman" w:eastAsia="仿宋"/>
          <w:sz w:val="24"/>
          <w:szCs w:val="24"/>
        </w:rPr>
        <w:t>95%</w:t>
      </w:r>
      <w:r>
        <w:rPr>
          <w:rFonts w:hint="eastAsia" w:ascii="Times New Roman" w:hAnsi="Times New Roman" w:eastAsia="仿宋"/>
          <w:sz w:val="24"/>
          <w:szCs w:val="24"/>
        </w:rPr>
        <w:t>以上的行政村生活垃圾得到治理，卫生厕所普及率达到</w:t>
      </w:r>
      <w:r>
        <w:rPr>
          <w:rFonts w:ascii="Times New Roman" w:hAnsi="Times New Roman" w:eastAsia="仿宋"/>
          <w:sz w:val="24"/>
          <w:szCs w:val="24"/>
        </w:rPr>
        <w:t>95%</w:t>
      </w:r>
      <w:r>
        <w:rPr>
          <w:rFonts w:hint="eastAsia" w:ascii="Times New Roman" w:hAnsi="Times New Roman" w:eastAsia="仿宋"/>
          <w:sz w:val="24"/>
          <w:szCs w:val="24"/>
        </w:rPr>
        <w:t>，</w:t>
      </w:r>
      <w:r>
        <w:rPr>
          <w:rFonts w:ascii="Times New Roman" w:hAnsi="Times New Roman" w:eastAsia="仿宋"/>
          <w:sz w:val="24"/>
          <w:szCs w:val="24"/>
        </w:rPr>
        <w:t>85%</w:t>
      </w:r>
      <w:r>
        <w:rPr>
          <w:rFonts w:hint="eastAsia" w:ascii="Times New Roman" w:hAnsi="Times New Roman" w:eastAsia="仿宋"/>
          <w:sz w:val="24"/>
          <w:szCs w:val="24"/>
        </w:rPr>
        <w:t>左右的行政村农村生活污水得到有效处理，村民小组保洁员配备率达到</w:t>
      </w:r>
      <w:r>
        <w:rPr>
          <w:rFonts w:ascii="Times New Roman" w:hAnsi="Times New Roman" w:eastAsia="仿宋"/>
          <w:sz w:val="24"/>
          <w:szCs w:val="24"/>
        </w:rPr>
        <w:t>100%</w:t>
      </w:r>
      <w:r>
        <w:rPr>
          <w:rFonts w:hint="eastAsia" w:ascii="Times New Roman" w:hAnsi="Times New Roman" w:eastAsia="仿宋"/>
          <w:sz w:val="24"/>
          <w:szCs w:val="24"/>
        </w:rPr>
        <w:t>，村内道路通行条件明显改善，村容村貌显著提升，管护长效机制初步建立。进一步推进省级</w:t>
      </w:r>
      <w:r>
        <w:rPr>
          <w:rFonts w:ascii="Times New Roman" w:hAnsi="Times New Roman" w:eastAsia="仿宋"/>
          <w:sz w:val="24"/>
          <w:szCs w:val="24"/>
        </w:rPr>
        <w:t>“</w:t>
      </w:r>
      <w:r>
        <w:rPr>
          <w:rFonts w:hint="eastAsia" w:ascii="Times New Roman" w:hAnsi="Times New Roman" w:eastAsia="仿宋"/>
          <w:sz w:val="24"/>
          <w:szCs w:val="24"/>
        </w:rPr>
        <w:t>四好村</w:t>
      </w:r>
      <w:r>
        <w:rPr>
          <w:rFonts w:ascii="Times New Roman" w:hAnsi="Times New Roman" w:eastAsia="仿宋"/>
          <w:sz w:val="24"/>
          <w:szCs w:val="24"/>
        </w:rPr>
        <w:t>”</w:t>
      </w:r>
      <w:r>
        <w:rPr>
          <w:rFonts w:hint="eastAsia" w:ascii="Times New Roman" w:hAnsi="Times New Roman" w:eastAsia="仿宋"/>
          <w:sz w:val="24"/>
          <w:szCs w:val="24"/>
        </w:rPr>
        <w:t>创建，基本实现</w:t>
      </w:r>
      <w:r>
        <w:rPr>
          <w:rFonts w:ascii="Times New Roman" w:hAnsi="Times New Roman" w:eastAsia="仿宋"/>
          <w:sz w:val="24"/>
          <w:szCs w:val="24"/>
        </w:rPr>
        <w:t>“</w:t>
      </w:r>
      <w:r>
        <w:rPr>
          <w:rFonts w:hint="eastAsia" w:ascii="Times New Roman" w:hAnsi="Times New Roman" w:eastAsia="仿宋"/>
          <w:sz w:val="24"/>
          <w:szCs w:val="24"/>
        </w:rPr>
        <w:t>业兴、家富、人和、村美</w:t>
      </w:r>
      <w:r>
        <w:rPr>
          <w:rFonts w:ascii="Times New Roman" w:hAnsi="Times New Roman" w:eastAsia="仿宋"/>
          <w:sz w:val="24"/>
          <w:szCs w:val="24"/>
        </w:rPr>
        <w:t>”</w:t>
      </w:r>
      <w:r>
        <w:rPr>
          <w:rFonts w:hint="eastAsia" w:ascii="Times New Roman" w:hAnsi="Times New Roman" w:eastAsia="仿宋"/>
          <w:sz w:val="24"/>
          <w:szCs w:val="24"/>
        </w:rPr>
        <w:t>建设目标。</w:t>
      </w:r>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（二）具体目标</w:t>
      </w:r>
    </w:p>
    <w:p>
      <w:pPr>
        <w:spacing w:line="600" w:lineRule="exact"/>
        <w:ind w:firstLine="560"/>
        <w:rPr>
          <w:rFonts w:ascii="Times New Roman" w:hAnsi="Times New Roman" w:eastAsia="仿宋"/>
          <w:color w:val="000000"/>
          <w:kern w:val="0"/>
          <w:sz w:val="24"/>
          <w:szCs w:val="24"/>
          <w:shd w:val="clear" w:color="auto" w:fill="FFFFFF"/>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年全县农村生活垃圾得到有效处理的村覆盖率达到</w:t>
      </w:r>
      <w:r>
        <w:rPr>
          <w:rFonts w:ascii="Times New Roman" w:hAnsi="Times New Roman" w:eastAsia="仿宋"/>
          <w:sz w:val="24"/>
          <w:szCs w:val="24"/>
        </w:rPr>
        <w:t>95%</w:t>
      </w:r>
      <w:r>
        <w:rPr>
          <w:rFonts w:hint="eastAsia" w:ascii="Times New Roman" w:hAnsi="Times New Roman" w:eastAsia="仿宋"/>
          <w:sz w:val="24"/>
          <w:szCs w:val="24"/>
        </w:rPr>
        <w:t>以上；农村生活污水得到有效处理的村覆盖率达到</w:t>
      </w:r>
      <w:r>
        <w:rPr>
          <w:rFonts w:ascii="Times New Roman" w:hAnsi="Times New Roman" w:eastAsia="仿宋"/>
          <w:sz w:val="24"/>
          <w:szCs w:val="24"/>
        </w:rPr>
        <w:t>85%</w:t>
      </w:r>
      <w:r>
        <w:rPr>
          <w:rFonts w:hint="eastAsia" w:ascii="Times New Roman" w:hAnsi="Times New Roman" w:eastAsia="仿宋"/>
          <w:sz w:val="24"/>
          <w:szCs w:val="24"/>
        </w:rPr>
        <w:t>；</w:t>
      </w:r>
      <w:r>
        <w:rPr>
          <w:rFonts w:hint="eastAsia" w:ascii="Times New Roman" w:hAnsi="Times New Roman" w:eastAsia="仿宋"/>
          <w:color w:val="000000"/>
          <w:sz w:val="24"/>
          <w:szCs w:val="24"/>
        </w:rPr>
        <w:t>全面消除农村黑臭水体；</w:t>
      </w:r>
      <w:r>
        <w:rPr>
          <w:rFonts w:hint="eastAsia" w:ascii="Times New Roman" w:hAnsi="Times New Roman" w:eastAsia="仿宋"/>
          <w:color w:val="000000"/>
          <w:sz w:val="24"/>
          <w:szCs w:val="24"/>
          <w:lang w:eastAsia="zh-CN"/>
        </w:rPr>
        <w:t>村民小组</w:t>
      </w:r>
      <w:r>
        <w:rPr>
          <w:rFonts w:hint="eastAsia" w:ascii="Times New Roman" w:hAnsi="Times New Roman" w:eastAsia="仿宋"/>
          <w:color w:val="000000"/>
          <w:sz w:val="24"/>
          <w:szCs w:val="24"/>
        </w:rPr>
        <w:t>保洁员配备率达到</w:t>
      </w:r>
      <w:r>
        <w:rPr>
          <w:rFonts w:ascii="Times New Roman" w:hAnsi="Times New Roman" w:eastAsia="仿宋"/>
          <w:color w:val="000000"/>
          <w:sz w:val="24"/>
          <w:szCs w:val="24"/>
        </w:rPr>
        <w:t>100%</w:t>
      </w:r>
      <w:r>
        <w:rPr>
          <w:rFonts w:hint="eastAsia" w:ascii="Times New Roman" w:hAnsi="Times New Roman" w:eastAsia="仿宋"/>
          <w:color w:val="000000"/>
          <w:sz w:val="24"/>
          <w:szCs w:val="24"/>
        </w:rPr>
        <w:t>；户用卫生厕所普及率达到</w:t>
      </w:r>
      <w:r>
        <w:rPr>
          <w:rFonts w:ascii="Times New Roman" w:hAnsi="Times New Roman" w:eastAsia="仿宋"/>
          <w:color w:val="000000"/>
          <w:sz w:val="24"/>
          <w:szCs w:val="24"/>
        </w:rPr>
        <w:t>95%</w:t>
      </w:r>
      <w:r>
        <w:rPr>
          <w:rFonts w:hint="eastAsia" w:ascii="Times New Roman" w:hAnsi="Times New Roman" w:eastAsia="仿宋"/>
          <w:color w:val="000000"/>
          <w:sz w:val="24"/>
          <w:szCs w:val="24"/>
        </w:rPr>
        <w:t>；有独立的、管理良好、干净整洁、粪污得到有效处理的农村公共厕所；化肥农药用量减少幅度达到</w:t>
      </w:r>
      <w:r>
        <w:rPr>
          <w:rFonts w:ascii="Times New Roman" w:hAnsi="Times New Roman" w:eastAsia="仿宋"/>
          <w:color w:val="000000"/>
          <w:sz w:val="24"/>
          <w:szCs w:val="24"/>
        </w:rPr>
        <w:t>20%</w:t>
      </w:r>
      <w:r>
        <w:rPr>
          <w:rFonts w:hint="eastAsia" w:ascii="Times New Roman" w:hAnsi="Times New Roman" w:eastAsia="仿宋"/>
          <w:color w:val="000000"/>
          <w:sz w:val="24"/>
          <w:szCs w:val="24"/>
        </w:rPr>
        <w:t>以上；农业废弃物资源化利用及回收处置率达到</w:t>
      </w:r>
      <w:r>
        <w:rPr>
          <w:rFonts w:ascii="Times New Roman" w:hAnsi="Times New Roman" w:eastAsia="仿宋"/>
          <w:color w:val="000000"/>
          <w:sz w:val="24"/>
          <w:szCs w:val="24"/>
        </w:rPr>
        <w:t>85%</w:t>
      </w:r>
      <w:r>
        <w:rPr>
          <w:rFonts w:hint="eastAsia" w:ascii="Times New Roman" w:hAnsi="Times New Roman" w:eastAsia="仿宋"/>
          <w:color w:val="000000"/>
          <w:sz w:val="24"/>
          <w:szCs w:val="24"/>
        </w:rPr>
        <w:t>以上；全面落实</w:t>
      </w:r>
      <w:r>
        <w:rPr>
          <w:rFonts w:ascii="Times New Roman" w:hAnsi="Times New Roman" w:eastAsia="仿宋"/>
          <w:color w:val="000000"/>
          <w:sz w:val="24"/>
          <w:szCs w:val="24"/>
        </w:rPr>
        <w:t>“</w:t>
      </w:r>
      <w:r>
        <w:rPr>
          <w:rFonts w:hint="eastAsia" w:ascii="Times New Roman" w:hAnsi="Times New Roman" w:eastAsia="仿宋"/>
          <w:color w:val="000000"/>
          <w:sz w:val="24"/>
          <w:szCs w:val="24"/>
        </w:rPr>
        <w:t>有制度、有标准、有队伍、有经费、有督查</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的农村人居环境整治长效管护机制；</w:t>
      </w:r>
      <w:r>
        <w:rPr>
          <w:rFonts w:ascii="Times New Roman" w:hAnsi="Times New Roman" w:eastAsia="仿宋"/>
          <w:color w:val="000000"/>
          <w:sz w:val="24"/>
          <w:szCs w:val="24"/>
        </w:rPr>
        <w:t>“</w:t>
      </w:r>
      <w:r>
        <w:rPr>
          <w:rFonts w:hint="eastAsia" w:ascii="Times New Roman" w:hAnsi="Times New Roman" w:eastAsia="仿宋"/>
          <w:color w:val="000000"/>
          <w:sz w:val="24"/>
          <w:szCs w:val="24"/>
        </w:rPr>
        <w:t>六网一中心</w:t>
      </w:r>
      <w:r>
        <w:rPr>
          <w:rFonts w:ascii="Times New Roman" w:hAnsi="Times New Roman" w:eastAsia="仿宋"/>
          <w:color w:val="000000"/>
          <w:sz w:val="24"/>
          <w:szCs w:val="24"/>
        </w:rPr>
        <w:t>”</w:t>
      </w:r>
      <w:r>
        <w:rPr>
          <w:rFonts w:hint="eastAsia" w:ascii="Times New Roman" w:hAnsi="Times New Roman" w:eastAsia="仿宋"/>
          <w:color w:val="000000"/>
          <w:sz w:val="24"/>
          <w:szCs w:val="24"/>
        </w:rPr>
        <w:t>基础设施建设和村容村貌</w:t>
      </w:r>
      <w:r>
        <w:rPr>
          <w:rFonts w:ascii="Times New Roman" w:hAnsi="Times New Roman" w:eastAsia="仿宋"/>
          <w:color w:val="000000"/>
          <w:sz w:val="24"/>
          <w:szCs w:val="24"/>
        </w:rPr>
        <w:t>“</w:t>
      </w:r>
      <w:r>
        <w:rPr>
          <w:rFonts w:hint="eastAsia" w:ascii="Times New Roman" w:hAnsi="Times New Roman" w:eastAsia="仿宋"/>
          <w:color w:val="000000"/>
          <w:sz w:val="24"/>
          <w:szCs w:val="24"/>
        </w:rPr>
        <w:t>六化</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的实施水平处于类区前列。</w:t>
      </w:r>
      <w:bookmarkStart w:id="13" w:name="_Toc3884557"/>
      <w:r>
        <w:rPr>
          <w:rFonts w:hint="eastAsia" w:ascii="Times New Roman" w:hAnsi="Times New Roman" w:eastAsia="仿宋"/>
          <w:color w:val="000000"/>
          <w:sz w:val="24"/>
          <w:szCs w:val="24"/>
          <w:lang w:val="en-US" w:eastAsia="zh-CN"/>
        </w:rPr>
        <w:t xml:space="preserve">                       </w:t>
      </w:r>
      <w:bookmarkEnd w:id="13"/>
    </w:p>
    <w:p>
      <w:pPr>
        <w:spacing w:line="600" w:lineRule="exact"/>
        <w:ind w:firstLine="0" w:firstLineChars="0"/>
        <w:rPr>
          <w:rFonts w:ascii="Times New Roman" w:hAnsi="Times New Roman" w:eastAsia="仿宋"/>
          <w:sz w:val="24"/>
          <w:szCs w:val="24"/>
        </w:rPr>
      </w:pPr>
    </w:p>
    <w:p>
      <w:pPr>
        <w:pStyle w:val="4"/>
        <w:spacing w:line="600" w:lineRule="exact"/>
        <w:ind w:firstLine="0" w:firstLineChars="0"/>
        <w:jc w:val="center"/>
        <w:rPr>
          <w:rFonts w:ascii="Times New Roman" w:hAnsi="Times New Roman" w:eastAsia="仿宋"/>
          <w:b/>
          <w:bCs/>
          <w:sz w:val="24"/>
          <w:szCs w:val="24"/>
        </w:rPr>
      </w:pPr>
      <w:bookmarkStart w:id="14" w:name="_Toc3884560"/>
      <w:r>
        <w:rPr>
          <w:rFonts w:hint="eastAsia" w:ascii="Times New Roman" w:hAnsi="Times New Roman" w:eastAsia="仿宋"/>
          <w:b/>
          <w:bCs/>
          <w:sz w:val="24"/>
          <w:szCs w:val="24"/>
        </w:rPr>
        <w:t>第</w:t>
      </w:r>
      <w:r>
        <w:rPr>
          <w:rFonts w:hint="eastAsia" w:ascii="Times New Roman" w:hAnsi="Times New Roman" w:eastAsia="仿宋"/>
          <w:b/>
          <w:bCs/>
          <w:sz w:val="24"/>
          <w:szCs w:val="24"/>
          <w:lang w:val="en-US" w:eastAsia="zh-CN"/>
        </w:rPr>
        <w:t>四</w:t>
      </w:r>
      <w:r>
        <w:rPr>
          <w:rFonts w:hint="eastAsia" w:ascii="Times New Roman" w:hAnsi="Times New Roman" w:eastAsia="仿宋"/>
          <w:b/>
          <w:bCs/>
          <w:sz w:val="24"/>
          <w:szCs w:val="24"/>
        </w:rPr>
        <w:t>章</w:t>
      </w:r>
      <w:r>
        <w:rPr>
          <w:rFonts w:ascii="Times New Roman" w:hAnsi="Times New Roman" w:eastAsia="仿宋"/>
          <w:b/>
          <w:bCs/>
          <w:sz w:val="24"/>
          <w:szCs w:val="24"/>
        </w:rPr>
        <w:t xml:space="preserve"> </w:t>
      </w:r>
      <w:r>
        <w:rPr>
          <w:rFonts w:hint="eastAsia" w:ascii="Times New Roman" w:hAnsi="Times New Roman" w:eastAsia="仿宋"/>
          <w:b/>
          <w:bCs/>
          <w:sz w:val="24"/>
          <w:szCs w:val="24"/>
        </w:rPr>
        <w:t>进度计划</w:t>
      </w:r>
      <w:bookmarkEnd w:id="14"/>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bookmarkStart w:id="15" w:name="_Toc3884567"/>
      <w:r>
        <w:rPr>
          <w:rFonts w:hint="eastAsia" w:ascii="楷体_GB2312" w:hAnsi="楷体_GB2312" w:eastAsia="楷体_GB2312" w:cs="楷体_GB2312"/>
          <w:b w:val="0"/>
          <w:bCs w:val="0"/>
          <w:sz w:val="24"/>
          <w:szCs w:val="24"/>
        </w:rPr>
        <w:t>（一）宣传动员、调查摸底阶段(2019年3月—4月)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成立由党政主要负责人任组长的农村厕所改造工作领导小组，召开动员部署大会,进行动员部署，制定实施方案。各行政村也要在前期调查摸底的基础上，建立有村社代表组成的议事代表机构，召开动员会议，明确改造任务，启动改厕工作。</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（二）试点先行、探索经验阶段（2019年4月-5月）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坚持试点先行，将瞿河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纳入人居环境整治整乡推进，确定2个市级美丽宜居试点村（沱牌镇青岗村、青龙村）、11个人居环境整治示范村和39个重点村。同时在瞿河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高家沟村、板板桥村、刘李村、沱牌镇青岗村、青龙村、</w:t>
      </w:r>
      <w:r>
        <w:rPr>
          <w:rFonts w:hint="eastAsia" w:ascii="仿宋_GB2312" w:hAnsi="仿宋_GB2312" w:eastAsia="仿宋_GB2312" w:cs="仿宋_GB2312"/>
          <w:b w:val="0"/>
          <w:bCs w:val="0"/>
          <w:sz w:val="24"/>
          <w:szCs w:val="24"/>
          <w:lang w:eastAsia="zh-CN"/>
        </w:rPr>
        <w:t>大榆镇</w:t>
      </w:r>
      <w:r>
        <w:rPr>
          <w:rFonts w:hint="eastAsia" w:ascii="仿宋_GB2312" w:hAnsi="仿宋_GB2312" w:eastAsia="仿宋_GB2312" w:cs="仿宋_GB2312"/>
          <w:b w:val="0"/>
          <w:bCs w:val="0"/>
          <w:sz w:val="24"/>
          <w:szCs w:val="24"/>
        </w:rPr>
        <w:t>文家坝村分别选取10-20户示范户开展试点工作，在5月中旬前完成厕所、垃圾处理试点任务，6月初完成污水处理试点任务，为全县面上推进工作探索经验。各镇也要选取1-2个示范点先行先试，为县全面推进“厕所、垃圾、污水”三大革命工作探索经验。</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（三）全面实施阶段(2019年5月至2019年11月)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各镇要按照实施方案和任务要求，首先建立改厕示范户，让村民现场参观</w:t>
      </w:r>
      <w:r>
        <w:rPr>
          <w:rFonts w:hint="eastAsia" w:ascii="仿宋_GB2312" w:hAnsi="仿宋_GB2312" w:eastAsia="仿宋_GB2312" w:cs="仿宋_GB2312"/>
          <w:b w:val="0"/>
          <w:bCs w:val="0"/>
          <w:sz w:val="24"/>
          <w:szCs w:val="24"/>
          <w:lang w:eastAsia="zh-CN"/>
        </w:rPr>
        <w:t>改厕样板</w:t>
      </w:r>
      <w:r>
        <w:rPr>
          <w:rFonts w:hint="eastAsia" w:ascii="仿宋_GB2312" w:hAnsi="仿宋_GB2312" w:eastAsia="仿宋_GB2312" w:cs="仿宋_GB2312"/>
          <w:b w:val="0"/>
          <w:bCs w:val="0"/>
          <w:sz w:val="24"/>
          <w:szCs w:val="24"/>
        </w:rPr>
        <w:t>、亲身体验</w:t>
      </w:r>
      <w:r>
        <w:rPr>
          <w:rFonts w:hint="eastAsia" w:ascii="仿宋_GB2312" w:hAnsi="仿宋_GB2312" w:eastAsia="仿宋_GB2312" w:cs="仿宋_GB2312"/>
          <w:b w:val="0"/>
          <w:bCs w:val="0"/>
          <w:sz w:val="24"/>
          <w:szCs w:val="24"/>
          <w:lang w:eastAsia="zh-CN"/>
        </w:rPr>
        <w:t>整治效果</w:t>
      </w:r>
      <w:r>
        <w:rPr>
          <w:rFonts w:hint="eastAsia" w:ascii="仿宋_GB2312" w:hAnsi="仿宋_GB2312" w:eastAsia="仿宋_GB2312" w:cs="仿宋_GB2312"/>
          <w:b w:val="0"/>
          <w:bCs w:val="0"/>
          <w:sz w:val="24"/>
          <w:szCs w:val="24"/>
        </w:rPr>
        <w:t>，充分调动村民参与的积极性，自主申请、科学规划整治标准和项目内容，整村推进厕所无害化改造工作。在施工过程中，要充分尊重农民意愿，并指导农户科学使用、定期维护。</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w:t>
      </w:r>
      <w:r>
        <w:rPr>
          <w:rFonts w:hint="eastAsia" w:ascii="楷体_GB2312" w:hAnsi="楷体_GB2312" w:eastAsia="楷体_GB2312" w:cs="楷体_GB2312"/>
          <w:b w:val="0"/>
          <w:bCs w:val="0"/>
          <w:sz w:val="24"/>
          <w:szCs w:val="24"/>
          <w:lang w:eastAsia="zh-CN"/>
        </w:rPr>
        <w:t>四</w:t>
      </w:r>
      <w:r>
        <w:rPr>
          <w:rFonts w:hint="eastAsia" w:ascii="楷体_GB2312" w:hAnsi="楷体_GB2312" w:eastAsia="楷体_GB2312" w:cs="楷体_GB2312"/>
          <w:b w:val="0"/>
          <w:bCs w:val="0"/>
          <w:sz w:val="24"/>
          <w:szCs w:val="24"/>
        </w:rPr>
        <w:t>）项目验收阶段（2019年12月）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按照“村初验、镇复核、县抽检”的方式组织竣工验收，各村初验完成后上报镇领导小组，镇领导小组组织进行复核，按照改厕项目台账逐村逐户进行验收，拍摄保存改厕项目前中后照片作为验收资料。</w:t>
      </w: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3132" w:firstLineChars="1300"/>
        <w:rPr>
          <w:rFonts w:ascii="Times New Roman" w:hAnsi="Times New Roman" w:eastAsia="仿宋"/>
          <w:b/>
          <w:bCs/>
          <w:color w:val="000000"/>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五</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保障措施</w:t>
      </w:r>
      <w:bookmarkEnd w:id="15"/>
    </w:p>
    <w:p>
      <w:pPr>
        <w:pStyle w:val="5"/>
        <w:spacing w:line="600" w:lineRule="exact"/>
        <w:rPr>
          <w:rFonts w:ascii="Times New Roman" w:hAnsi="Times New Roman" w:eastAsia="仿宋"/>
          <w:sz w:val="24"/>
          <w:szCs w:val="24"/>
        </w:rPr>
      </w:pPr>
      <w:bookmarkStart w:id="16" w:name="_Toc3884568"/>
      <w:r>
        <w:rPr>
          <w:rFonts w:hint="eastAsia" w:ascii="Times New Roman" w:hAnsi="Times New Roman" w:eastAsia="仿宋"/>
          <w:sz w:val="24"/>
          <w:szCs w:val="24"/>
        </w:rPr>
        <w:t>一、加强组织领导</w:t>
      </w:r>
      <w:bookmarkEnd w:id="16"/>
    </w:p>
    <w:p>
      <w:pPr>
        <w:spacing w:line="600" w:lineRule="exact"/>
        <w:ind w:left="-3" w:leftChars="-1" w:firstLine="560"/>
        <w:rPr>
          <w:rFonts w:ascii="Times New Roman" w:hAnsi="Times New Roman" w:eastAsia="仿宋"/>
          <w:sz w:val="24"/>
          <w:szCs w:val="24"/>
        </w:rPr>
      </w:pP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委、</w:t>
      </w: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政府对全县农村人居环境整治工作负总责，将农村人居环境整治作为实施乡村振兴战略的重要任务，建立健全领导机制，实行河长制，提供组织和政策保障，县直有关部门要根据本方案要求，密切协作配合，形成工作合力。各镇（乡）党委、政府和县直园区党工委、管委会要落实主体责任，落实相应机构、人员，组织统筹开展乡村振兴及农村人居环境整治，做好综合协调、项目落地、资金筹措、推进实施、督促检查等工作，层层落实工作责任，鼓励支持由平台公司组织开展投资建设工作，并将农村人居环境整治工作开展情况作为干部选拔任用和评优评先的重要依据。完善充实乡村建设管理机构和人员，加强乡村保洁员队伍建设，探索整合乡村绿化管护、道路养护、河道管护、环保监督等职责，实行</w:t>
      </w:r>
      <w:r>
        <w:rPr>
          <w:rFonts w:ascii="Times New Roman" w:hAnsi="Times New Roman" w:eastAsia="仿宋"/>
          <w:sz w:val="24"/>
          <w:szCs w:val="24"/>
        </w:rPr>
        <w:t>“</w:t>
      </w:r>
      <w:r>
        <w:rPr>
          <w:rFonts w:hint="eastAsia" w:ascii="Times New Roman" w:hAnsi="Times New Roman" w:eastAsia="仿宋"/>
          <w:sz w:val="24"/>
          <w:szCs w:val="24"/>
        </w:rPr>
        <w:t>多员合一</w:t>
      </w:r>
      <w:r>
        <w:rPr>
          <w:rFonts w:ascii="Times New Roman" w:hAnsi="Times New Roman" w:eastAsia="仿宋"/>
          <w:sz w:val="24"/>
          <w:szCs w:val="24"/>
        </w:rPr>
        <w:t>”</w:t>
      </w:r>
      <w:r>
        <w:rPr>
          <w:rFonts w:hint="eastAsia" w:ascii="Times New Roman" w:hAnsi="Times New Roman" w:eastAsia="仿宋"/>
          <w:sz w:val="24"/>
          <w:szCs w:val="24"/>
        </w:rPr>
        <w:t>，整合管护资金，提高工作待遇。要强化宣传引导，营造浓厚氛围，各级宣传、精神文明建设部门要充分发挥报刊、广播、电视、网络等主流媒体作用，以群众喜闻乐见的形式，持续开展丰富多彩、生动活泼的宣传教育活动，总结宣传先进典型，大力推广经验做法，持续加强舆论造势，广泛争取各方支持，不断提高农村人居环境整治工作的知晓率、支持率、参与率和满意率。</w:t>
      </w:r>
    </w:p>
    <w:p>
      <w:pPr>
        <w:pStyle w:val="5"/>
        <w:spacing w:line="600" w:lineRule="exact"/>
        <w:rPr>
          <w:rFonts w:ascii="Times New Roman" w:hAnsi="Times New Roman" w:eastAsia="仿宋"/>
          <w:sz w:val="24"/>
          <w:szCs w:val="24"/>
        </w:rPr>
      </w:pPr>
      <w:bookmarkStart w:id="17" w:name="_Toc3884569"/>
      <w:r>
        <w:rPr>
          <w:rFonts w:hint="eastAsia" w:ascii="Times New Roman" w:hAnsi="Times New Roman" w:eastAsia="仿宋"/>
          <w:sz w:val="24"/>
          <w:szCs w:val="24"/>
        </w:rPr>
        <w:t>二、落实资金保障</w:t>
      </w:r>
      <w:bookmarkEnd w:id="17"/>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乡村振兴办要统筹幸福美丽新村建设、水污染防治等相关渠道资金，加大投入力度，重点保障农村生活污水、生活垃圾、</w:t>
      </w:r>
      <w:r>
        <w:rPr>
          <w:rFonts w:ascii="Times New Roman" w:hAnsi="Times New Roman" w:eastAsia="仿宋"/>
          <w:sz w:val="24"/>
          <w:szCs w:val="24"/>
        </w:rPr>
        <w:t>“</w:t>
      </w:r>
      <w:r>
        <w:rPr>
          <w:rFonts w:hint="eastAsia" w:ascii="Times New Roman" w:hAnsi="Times New Roman" w:eastAsia="仿宋"/>
          <w:sz w:val="24"/>
          <w:szCs w:val="24"/>
        </w:rPr>
        <w:t>厕所革命</w:t>
      </w:r>
      <w:r>
        <w:rPr>
          <w:rFonts w:ascii="Times New Roman" w:hAnsi="Times New Roman" w:eastAsia="仿宋"/>
          <w:sz w:val="24"/>
          <w:szCs w:val="24"/>
        </w:rPr>
        <w:t>”</w:t>
      </w:r>
      <w:r>
        <w:rPr>
          <w:rFonts w:hint="eastAsia" w:ascii="Times New Roman" w:hAnsi="Times New Roman" w:eastAsia="仿宋"/>
          <w:sz w:val="24"/>
          <w:szCs w:val="24"/>
        </w:rPr>
        <w:t>等项目建设和运行。城乡建设用地增减挂钩所获土地增值收益，按相关规定用于支持农业农村发展和改善农民生活条件。村庄整治增加耕地获得的占补平衡指标收益，通过支出预算统筹安排支持当地农村人居环境整治。发挥开发性、政策性金融作用，用好抵押补充贷款、用好国家开发银行、中国农业发展银行等金融机构金融资金支持。积极引导社会资本参与农村人居环境整治项目，推动专业化、市场化建设和运行管护。</w:t>
      </w:r>
    </w:p>
    <w:p>
      <w:pPr>
        <w:pStyle w:val="5"/>
        <w:spacing w:line="600" w:lineRule="exact"/>
        <w:rPr>
          <w:rFonts w:ascii="Times New Roman" w:hAnsi="Times New Roman" w:eastAsia="仿宋"/>
          <w:sz w:val="24"/>
          <w:szCs w:val="24"/>
        </w:rPr>
      </w:pPr>
      <w:bookmarkStart w:id="18" w:name="_Toc3884570"/>
      <w:r>
        <w:rPr>
          <w:rFonts w:hint="eastAsia" w:ascii="Times New Roman" w:hAnsi="Times New Roman" w:eastAsia="仿宋"/>
          <w:sz w:val="24"/>
          <w:szCs w:val="24"/>
        </w:rPr>
        <w:t>三、强化技术和人才支撑</w:t>
      </w:r>
      <w:bookmarkEnd w:id="18"/>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按照地形、人文、旅游、生态不同类别，科学确定不同种类村庄整治标准和建设内容，分级分类制定农村生活垃圾污水处理设施建设和运行维护技术指南，不断健全技术标准体系。组织高等学校、科研院所、企业开展农村人居环境整治关键技术、工艺和装备研发。建立农村人居环境整治专家库，鼓励规划师、建筑师等专业人才下乡，选派各类专业技术人员驻村指导，组织开展企业与县、乡、村对接农村环保实用技术和装备需求。进一步健全镇（乡）规划建设管理队伍，加强项目建设和运行管理人员技术培训。</w:t>
      </w:r>
    </w:p>
    <w:p>
      <w:pPr>
        <w:pStyle w:val="5"/>
        <w:spacing w:line="600" w:lineRule="exact"/>
        <w:rPr>
          <w:rFonts w:ascii="Times New Roman" w:hAnsi="Times New Roman" w:eastAsia="仿宋"/>
          <w:sz w:val="24"/>
          <w:szCs w:val="24"/>
        </w:rPr>
      </w:pPr>
      <w:bookmarkStart w:id="19" w:name="_Toc3884571"/>
      <w:r>
        <w:rPr>
          <w:rFonts w:hint="eastAsia" w:ascii="Times New Roman" w:hAnsi="Times New Roman" w:eastAsia="仿宋"/>
          <w:sz w:val="24"/>
          <w:szCs w:val="24"/>
        </w:rPr>
        <w:t>四、发挥村民主体作用</w:t>
      </w:r>
      <w:bookmarkEnd w:id="19"/>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调动村民积极性、主动性，充分运用</w:t>
      </w:r>
      <w:r>
        <w:rPr>
          <w:rFonts w:ascii="Times New Roman" w:hAnsi="Times New Roman" w:eastAsia="仿宋"/>
          <w:sz w:val="24"/>
          <w:szCs w:val="24"/>
        </w:rPr>
        <w:t>“</w:t>
      </w:r>
      <w:r>
        <w:rPr>
          <w:rFonts w:hint="eastAsia" w:ascii="Times New Roman" w:hAnsi="Times New Roman" w:eastAsia="仿宋"/>
          <w:sz w:val="24"/>
          <w:szCs w:val="24"/>
        </w:rPr>
        <w:t>一事一议</w:t>
      </w:r>
      <w:r>
        <w:rPr>
          <w:rFonts w:ascii="Times New Roman" w:hAnsi="Times New Roman" w:eastAsia="仿宋"/>
          <w:sz w:val="24"/>
          <w:szCs w:val="24"/>
        </w:rPr>
        <w:t>”</w:t>
      </w:r>
      <w:r>
        <w:rPr>
          <w:rFonts w:hint="eastAsia" w:ascii="Times New Roman" w:hAnsi="Times New Roman" w:eastAsia="仿宋"/>
          <w:sz w:val="24"/>
          <w:szCs w:val="24"/>
        </w:rPr>
        <w:t>民主决策机制，鼓励村民和村集体经济组织全程参与农村人居环境整治项目规划、建设、管理和监督，将农村环境卫生、古树名木保护等要求纳入村规民约，引导规范村民自治；探索建立农村人居环境设施共建、经费共担、环境共管机制，鼓励村民投工、投劳、投资，主动参与改善农村人居环境，村内公共空间整治主要通过村民投工投劳解决；鼓励农村集体经济组织通过依法盘活集体经营性用地、空闲农房及宅基地等途径，多渠道筹措资金。</w:t>
      </w:r>
    </w:p>
    <w:p>
      <w:pPr>
        <w:pStyle w:val="5"/>
        <w:spacing w:line="600" w:lineRule="exact"/>
        <w:rPr>
          <w:rFonts w:ascii="Times New Roman" w:hAnsi="Times New Roman" w:eastAsia="仿宋"/>
          <w:sz w:val="24"/>
          <w:szCs w:val="24"/>
        </w:rPr>
      </w:pPr>
      <w:bookmarkStart w:id="20" w:name="_Toc3884572"/>
      <w:r>
        <w:rPr>
          <w:rFonts w:hint="eastAsia" w:ascii="Times New Roman" w:hAnsi="Times New Roman" w:eastAsia="仿宋"/>
          <w:sz w:val="24"/>
          <w:szCs w:val="24"/>
        </w:rPr>
        <w:t>五、加强督导考核验收</w:t>
      </w:r>
      <w:bookmarkEnd w:id="20"/>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将农村人居环境整治工作纳入政府目标绩效考核范围，建立日常督导、季度通报、年度考核、达标验收相结合的考评激励机制，相关资金支持、项目安排优先向工作成效突出的镇（乡）、街道倾斜，对排名靠后的进行通报约谈。区级有关部门要结合职能职责制定相关工作导则和技术标准，对镇（乡）、街道工作加强指导。要加大督导力度，确保农村人居环境整治各项任务全面完成。</w:t>
      </w:r>
    </w:p>
    <w:p>
      <w:pPr>
        <w:pStyle w:val="5"/>
        <w:spacing w:line="600" w:lineRule="exact"/>
        <w:rPr>
          <w:rFonts w:ascii="Times New Roman" w:hAnsi="Times New Roman" w:eastAsia="仿宋"/>
          <w:sz w:val="24"/>
          <w:szCs w:val="24"/>
        </w:rPr>
      </w:pPr>
      <w:bookmarkStart w:id="21" w:name="_Toc3884573"/>
      <w:r>
        <w:rPr>
          <w:rFonts w:hint="eastAsia" w:ascii="Times New Roman" w:hAnsi="Times New Roman" w:eastAsia="仿宋"/>
          <w:sz w:val="24"/>
          <w:szCs w:val="24"/>
        </w:rPr>
        <w:t>六、严格治理标准和法治保障</w:t>
      </w:r>
      <w:bookmarkEnd w:id="21"/>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严格执行省、市制定的农村生活垃圾污水治理技术、施工建设、运行维护等标准规范。贯彻执行《四川省城乡环境综合治理条例》和《四川省农村住房建设管理办法》。</w:t>
      </w:r>
    </w:p>
    <w:p>
      <w:pPr>
        <w:pStyle w:val="5"/>
        <w:spacing w:line="520" w:lineRule="exact"/>
        <w:rPr>
          <w:rFonts w:ascii="Times New Roman" w:hAnsi="Times New Roman" w:eastAsia="仿宋"/>
          <w:sz w:val="24"/>
          <w:szCs w:val="24"/>
        </w:rPr>
      </w:pPr>
      <w:bookmarkStart w:id="22" w:name="_Toc3884574"/>
      <w:r>
        <w:rPr>
          <w:rFonts w:hint="eastAsia" w:ascii="Times New Roman" w:hAnsi="Times New Roman" w:eastAsia="仿宋"/>
          <w:sz w:val="24"/>
          <w:szCs w:val="24"/>
        </w:rPr>
        <w:t>七、加强宣传推广</w:t>
      </w:r>
      <w:bookmarkEnd w:id="22"/>
    </w:p>
    <w:p>
      <w:pPr>
        <w:spacing w:line="520" w:lineRule="exact"/>
        <w:ind w:firstLine="560"/>
        <w:rPr>
          <w:rFonts w:hint="eastAsia" w:ascii="Times New Roman" w:hAnsi="Times New Roman" w:eastAsia="仿宋"/>
          <w:sz w:val="24"/>
          <w:szCs w:val="24"/>
        </w:rPr>
      </w:pPr>
      <w:r>
        <w:rPr>
          <w:rFonts w:hint="eastAsia" w:ascii="Times New Roman" w:hAnsi="Times New Roman" w:eastAsia="仿宋"/>
          <w:sz w:val="24"/>
          <w:szCs w:val="24"/>
        </w:rPr>
        <w:t>采取现场会、经验交流会等方式，大力宣传农村人居环境整治典型，不断放大示范效应。充分利用电视、报刊、网络等宣传载体，加强政策解读，宣传推广好典型、好经验、好做法，努力营造全社会关心支持农村人居环境整治的良好氛围。</w:t>
      </w:r>
    </w:p>
    <w:p>
      <w:pPr>
        <w:pStyle w:val="4"/>
        <w:spacing w:line="600" w:lineRule="exact"/>
        <w:ind w:firstLine="0" w:firstLineChars="0"/>
        <w:jc w:val="center"/>
        <w:rPr>
          <w:rFonts w:hint="eastAsia"/>
          <w:b/>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六</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lang w:val="en-US" w:eastAsia="zh-CN"/>
        </w:rPr>
        <w:t>技术</w:t>
      </w:r>
      <w:r>
        <w:rPr>
          <w:rFonts w:hint="eastAsia" w:ascii="Times New Roman" w:hAnsi="Times New Roman" w:eastAsia="仿宋"/>
          <w:b/>
          <w:bCs/>
          <w:color w:val="000000"/>
          <w:sz w:val="24"/>
          <w:szCs w:val="24"/>
        </w:rPr>
        <w:t>措施</w:t>
      </w:r>
    </w:p>
    <w:p>
      <w:pPr>
        <w:spacing w:line="360" w:lineRule="auto"/>
        <w:jc w:val="center"/>
        <w:rPr>
          <w:rFonts w:ascii="Times New Roman" w:hAnsi="Times New Roman" w:eastAsia="仿宋"/>
          <w:b w:val="0"/>
          <w:bCs/>
          <w:color w:val="000000"/>
          <w:sz w:val="24"/>
          <w:szCs w:val="24"/>
        </w:rPr>
      </w:pPr>
      <w:r>
        <w:rPr>
          <w:rFonts w:hint="eastAsia"/>
          <w:b w:val="0"/>
          <w:bCs/>
          <w:sz w:val="24"/>
          <w:szCs w:val="24"/>
        </w:rPr>
        <w:t>2019年射洪市人居环境整治改厕</w:t>
      </w:r>
      <w:r>
        <w:rPr>
          <w:b w:val="0"/>
          <w:bCs/>
          <w:sz w:val="24"/>
          <w:szCs w:val="24"/>
        </w:rPr>
        <w:t>工程设计说明</w:t>
      </w:r>
    </w:p>
    <w:p>
      <w:pPr>
        <w:spacing w:line="360" w:lineRule="auto"/>
        <w:ind w:firstLine="480" w:firstLineChars="200"/>
        <w:outlineLvl w:val="0"/>
        <w:rPr>
          <w:b w:val="0"/>
          <w:bCs/>
          <w:sz w:val="24"/>
          <w:szCs w:val="24"/>
        </w:rPr>
      </w:pPr>
      <w:r>
        <w:rPr>
          <w:b w:val="0"/>
          <w:bCs/>
          <w:sz w:val="24"/>
          <w:szCs w:val="24"/>
        </w:rPr>
        <w:t>一、项目概况</w:t>
      </w:r>
    </w:p>
    <w:p>
      <w:pPr>
        <w:pStyle w:val="66"/>
        <w:snapToGrid w:val="0"/>
        <w:spacing w:line="360" w:lineRule="auto"/>
        <w:ind w:firstLine="480" w:firstLineChars="200"/>
        <w:jc w:val="both"/>
        <w:rPr>
          <w:rFonts w:hint="eastAsia" w:ascii="Times New Roman" w:eastAsia="宋体" w:cs="Times New Roman"/>
          <w:b w:val="0"/>
          <w:bCs/>
          <w:color w:val="auto"/>
          <w:kern w:val="2"/>
          <w:sz w:val="24"/>
          <w:szCs w:val="24"/>
        </w:rPr>
      </w:pPr>
      <w:r>
        <w:rPr>
          <w:rFonts w:hint="eastAsia" w:ascii="Times New Roman" w:eastAsia="宋体" w:cs="Times New Roman"/>
          <w:b w:val="0"/>
          <w:bCs/>
          <w:color w:val="auto"/>
          <w:kern w:val="2"/>
          <w:sz w:val="24"/>
          <w:szCs w:val="24"/>
        </w:rPr>
        <w:t>本项目</w:t>
      </w:r>
      <w:r>
        <w:rPr>
          <w:rFonts w:ascii="Times New Roman" w:eastAsia="宋体" w:cs="Times New Roman"/>
          <w:b w:val="0"/>
          <w:bCs/>
          <w:color w:val="auto"/>
          <w:kern w:val="2"/>
          <w:sz w:val="24"/>
          <w:szCs w:val="24"/>
        </w:rPr>
        <w:t>为</w:t>
      </w:r>
      <w:r>
        <w:rPr>
          <w:rFonts w:hint="eastAsia" w:ascii="Times New Roman" w:eastAsia="宋体" w:cs="Times New Roman"/>
          <w:b w:val="0"/>
          <w:bCs/>
          <w:color w:val="auto"/>
          <w:kern w:val="2"/>
          <w:sz w:val="24"/>
          <w:szCs w:val="24"/>
        </w:rPr>
        <w:t>2019年射洪市人居环境整治改厕</w:t>
      </w:r>
      <w:r>
        <w:rPr>
          <w:rFonts w:ascii="Times New Roman" w:eastAsia="宋体" w:cs="Times New Roman"/>
          <w:b w:val="0"/>
          <w:bCs/>
          <w:color w:val="auto"/>
          <w:kern w:val="2"/>
          <w:sz w:val="24"/>
          <w:szCs w:val="24"/>
        </w:rPr>
        <w:t>。</w:t>
      </w:r>
    </w:p>
    <w:p>
      <w:pPr>
        <w:spacing w:line="360" w:lineRule="auto"/>
        <w:ind w:firstLine="480" w:firstLineChars="200"/>
        <w:outlineLvl w:val="0"/>
        <w:rPr>
          <w:rFonts w:hint="eastAsia"/>
          <w:b w:val="0"/>
          <w:bCs/>
          <w:sz w:val="24"/>
          <w:szCs w:val="24"/>
        </w:rPr>
      </w:pPr>
      <w:r>
        <w:rPr>
          <w:rFonts w:hint="eastAsia"/>
          <w:b w:val="0"/>
          <w:bCs/>
          <w:sz w:val="24"/>
          <w:szCs w:val="24"/>
        </w:rPr>
        <w:t>二、</w:t>
      </w:r>
      <w:r>
        <w:rPr>
          <w:b w:val="0"/>
          <w:bCs/>
          <w:sz w:val="24"/>
          <w:szCs w:val="24"/>
        </w:rPr>
        <w:t>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1.现状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本项目无现状污水管道</w:t>
      </w:r>
      <w:r>
        <w:rPr>
          <w:rFonts w:hint="eastAsia" w:ascii="Times New Roman" w:eastAsia="宋体" w:cs="Times New Roman"/>
          <w:color w:val="auto"/>
          <w:kern w:val="2"/>
          <w:sz w:val="24"/>
          <w:szCs w:val="24"/>
          <w:lang w:val="en-US" w:eastAsia="zh-CN"/>
        </w:rPr>
        <w:t>及标准污水处理设施</w:t>
      </w:r>
      <w:r>
        <w:rPr>
          <w:rFonts w:hint="eastAsia" w:ascii="Times New Roman" w:eastAsia="宋体" w:cs="Times New Roman"/>
          <w:color w:val="auto"/>
          <w:kern w:val="2"/>
          <w:sz w:val="24"/>
          <w:szCs w:val="24"/>
        </w:rPr>
        <w:t>。</w:t>
      </w:r>
    </w:p>
    <w:p>
      <w:pPr>
        <w:spacing w:line="360" w:lineRule="auto"/>
        <w:ind w:firstLine="481" w:firstLineChars="200"/>
        <w:outlineLvl w:val="0"/>
        <w:rPr>
          <w:rFonts w:hint="eastAsia"/>
          <w:b/>
          <w:sz w:val="24"/>
          <w:szCs w:val="24"/>
        </w:rPr>
      </w:pPr>
      <w:r>
        <w:rPr>
          <w:rFonts w:hint="eastAsia"/>
          <w:b/>
          <w:sz w:val="24"/>
          <w:szCs w:val="24"/>
        </w:rPr>
        <w:t>三、主要设计依据、规范与图集</w:t>
      </w:r>
    </w:p>
    <w:p>
      <w:pPr>
        <w:spacing w:line="360" w:lineRule="auto"/>
        <w:ind w:firstLine="480" w:firstLineChars="200"/>
        <w:outlineLvl w:val="0"/>
        <w:rPr>
          <w:sz w:val="24"/>
          <w:szCs w:val="24"/>
        </w:rPr>
      </w:pPr>
      <w:r>
        <w:rPr>
          <w:sz w:val="24"/>
          <w:szCs w:val="24"/>
        </w:rPr>
        <w:t>1.  设计依据</w:t>
      </w:r>
    </w:p>
    <w:p>
      <w:pPr>
        <w:spacing w:line="360" w:lineRule="auto"/>
        <w:ind w:firstLine="480" w:firstLineChars="200"/>
        <w:rPr>
          <w:sz w:val="24"/>
          <w:szCs w:val="24"/>
        </w:rPr>
      </w:pPr>
      <w:r>
        <w:rPr>
          <w:sz w:val="24"/>
          <w:szCs w:val="24"/>
        </w:rPr>
        <w:t>（1）本项目设计合同。</w:t>
      </w:r>
    </w:p>
    <w:p>
      <w:pPr>
        <w:spacing w:line="360" w:lineRule="auto"/>
        <w:ind w:firstLine="480" w:firstLineChars="200"/>
        <w:rPr>
          <w:sz w:val="24"/>
          <w:szCs w:val="24"/>
        </w:rPr>
      </w:pPr>
      <w:r>
        <w:rPr>
          <w:sz w:val="24"/>
          <w:szCs w:val="24"/>
        </w:rPr>
        <w:t>（2）该片区地形测量图。</w:t>
      </w:r>
    </w:p>
    <w:p>
      <w:pPr>
        <w:spacing w:line="360" w:lineRule="auto"/>
        <w:ind w:firstLine="480" w:firstLineChars="200"/>
        <w:outlineLvl w:val="0"/>
        <w:rPr>
          <w:sz w:val="24"/>
          <w:szCs w:val="24"/>
        </w:rPr>
      </w:pPr>
      <w:r>
        <w:rPr>
          <w:sz w:val="24"/>
          <w:szCs w:val="24"/>
        </w:rPr>
        <w:t>2.  采用的规范、标准</w:t>
      </w:r>
    </w:p>
    <w:p>
      <w:pPr>
        <w:spacing w:line="360" w:lineRule="auto"/>
        <w:ind w:firstLine="480" w:firstLineChars="200"/>
        <w:rPr>
          <w:sz w:val="24"/>
          <w:szCs w:val="24"/>
        </w:rPr>
      </w:pPr>
      <w:r>
        <w:rPr>
          <w:sz w:val="24"/>
          <w:szCs w:val="24"/>
        </w:rPr>
        <w:t>(1)《室外排水设计规范》（GB50014-2006）(2016年版)；</w:t>
      </w:r>
    </w:p>
    <w:p>
      <w:pPr>
        <w:spacing w:line="360" w:lineRule="auto"/>
        <w:ind w:firstLine="480" w:firstLineChars="200"/>
        <w:rPr>
          <w:sz w:val="24"/>
          <w:szCs w:val="24"/>
        </w:rPr>
      </w:pPr>
      <w:r>
        <w:rPr>
          <w:sz w:val="24"/>
          <w:szCs w:val="24"/>
        </w:rPr>
        <w:t>(2)《城市排水工程规划规范》（GB50318-2017）；</w:t>
      </w:r>
    </w:p>
    <w:p>
      <w:pPr>
        <w:spacing w:line="360" w:lineRule="auto"/>
        <w:ind w:firstLine="480" w:firstLineChars="200"/>
        <w:rPr>
          <w:sz w:val="24"/>
          <w:szCs w:val="24"/>
        </w:rPr>
      </w:pPr>
      <w:r>
        <w:rPr>
          <w:sz w:val="24"/>
          <w:szCs w:val="24"/>
        </w:rPr>
        <w:t>(3)《给水排水工程管道结构设计规范》（GB50332-2002）；</w:t>
      </w:r>
    </w:p>
    <w:p>
      <w:pPr>
        <w:spacing w:line="360" w:lineRule="auto"/>
        <w:ind w:firstLine="480" w:firstLineChars="200"/>
        <w:rPr>
          <w:sz w:val="24"/>
          <w:szCs w:val="24"/>
        </w:rPr>
      </w:pPr>
      <w:r>
        <w:rPr>
          <w:sz w:val="24"/>
          <w:szCs w:val="24"/>
        </w:rPr>
        <w:t>(4)《给水排水工程构筑物结构设计规范》（GB50069-2002）；</w:t>
      </w:r>
    </w:p>
    <w:p>
      <w:pPr>
        <w:spacing w:line="360" w:lineRule="auto"/>
        <w:ind w:firstLine="480" w:firstLineChars="200"/>
        <w:rPr>
          <w:sz w:val="24"/>
          <w:szCs w:val="24"/>
        </w:rPr>
      </w:pPr>
      <w:r>
        <w:rPr>
          <w:sz w:val="24"/>
          <w:szCs w:val="24"/>
        </w:rPr>
        <w:t>(5)《给水排水构筑物工程施工及验收规范》（GB50141-2008）；</w:t>
      </w:r>
    </w:p>
    <w:p>
      <w:pPr>
        <w:spacing w:line="360" w:lineRule="auto"/>
        <w:ind w:firstLine="480" w:firstLineChars="200"/>
        <w:rPr>
          <w:sz w:val="24"/>
          <w:szCs w:val="24"/>
        </w:rPr>
      </w:pPr>
      <w:r>
        <w:rPr>
          <w:sz w:val="24"/>
          <w:szCs w:val="24"/>
        </w:rPr>
        <w:t>(6)《砌体结构工程施工质量验收规范》（GB50203-2011）；</w:t>
      </w:r>
    </w:p>
    <w:p>
      <w:pPr>
        <w:spacing w:line="360" w:lineRule="auto"/>
        <w:ind w:firstLine="480" w:firstLineChars="200"/>
        <w:rPr>
          <w:sz w:val="24"/>
          <w:szCs w:val="24"/>
        </w:rPr>
      </w:pPr>
      <w:r>
        <w:rPr>
          <w:sz w:val="24"/>
          <w:szCs w:val="24"/>
        </w:rPr>
        <w:t>(7)《给水排水管道工程施工及验收规范》（GB50268-2008)；</w:t>
      </w:r>
    </w:p>
    <w:p>
      <w:pPr>
        <w:spacing w:line="360" w:lineRule="auto"/>
        <w:ind w:firstLine="480" w:firstLineChars="200"/>
        <w:rPr>
          <w:sz w:val="24"/>
          <w:szCs w:val="24"/>
        </w:rPr>
      </w:pPr>
      <w:r>
        <w:rPr>
          <w:sz w:val="24"/>
          <w:szCs w:val="24"/>
        </w:rPr>
        <w:t>(8)《城市工程管线综合规划规范》(GB50289-2016)；</w:t>
      </w:r>
    </w:p>
    <w:p>
      <w:pPr>
        <w:spacing w:line="360" w:lineRule="auto"/>
        <w:ind w:firstLine="480" w:firstLineChars="200"/>
        <w:rPr>
          <w:rFonts w:ascii="Times New Roman" w:hAnsi="Times New Roman" w:eastAsia="仿宋"/>
          <w:color w:val="000000"/>
          <w:sz w:val="24"/>
          <w:szCs w:val="24"/>
        </w:rPr>
      </w:pPr>
      <w:r>
        <w:rPr>
          <w:sz w:val="24"/>
          <w:szCs w:val="24"/>
        </w:rPr>
        <w:t>(9)《市政 排水管道工程及附属设施》（06MS201）。</w:t>
      </w:r>
    </w:p>
    <w:p>
      <w:pPr>
        <w:spacing w:line="360" w:lineRule="auto"/>
        <w:ind w:firstLine="480" w:firstLineChars="200"/>
        <w:rPr>
          <w:sz w:val="21"/>
          <w:szCs w:val="21"/>
        </w:rPr>
      </w:pPr>
      <w:r>
        <w:rPr>
          <w:sz w:val="24"/>
          <w:szCs w:val="24"/>
        </w:rPr>
        <w:t>(10)《城镇给水排水技术规范》GB5078</w:t>
      </w:r>
      <w:r>
        <w:rPr>
          <w:sz w:val="21"/>
          <w:szCs w:val="21"/>
        </w:rPr>
        <w:t>8-2012；</w:t>
      </w:r>
    </w:p>
    <w:p>
      <w:pPr>
        <w:spacing w:line="360" w:lineRule="auto"/>
        <w:ind w:firstLine="420" w:firstLineChars="200"/>
        <w:rPr>
          <w:sz w:val="21"/>
          <w:szCs w:val="21"/>
        </w:rPr>
      </w:pPr>
      <w:r>
        <w:rPr>
          <w:sz w:val="21"/>
          <w:szCs w:val="21"/>
        </w:rPr>
        <w:t>(11)《室外给水排水和燃气热力工程抗震设计规范》GB50032-2003；</w:t>
      </w:r>
    </w:p>
    <w:p>
      <w:pPr>
        <w:spacing w:line="360" w:lineRule="auto"/>
        <w:ind w:firstLine="420" w:firstLineChars="200"/>
        <w:rPr>
          <w:rFonts w:hint="eastAsia"/>
          <w:sz w:val="21"/>
          <w:szCs w:val="21"/>
        </w:rPr>
      </w:pPr>
      <w:r>
        <w:rPr>
          <w:sz w:val="21"/>
          <w:szCs w:val="21"/>
        </w:rPr>
        <w:t>(12) 《</w:t>
      </w:r>
      <w:r>
        <w:rPr>
          <w:rFonts w:hint="eastAsia"/>
          <w:sz w:val="21"/>
          <w:szCs w:val="21"/>
        </w:rPr>
        <w:t>钢筋混凝土化粪池</w:t>
      </w:r>
      <w:r>
        <w:rPr>
          <w:sz w:val="21"/>
          <w:szCs w:val="21"/>
        </w:rPr>
        <w:t>》</w:t>
      </w:r>
      <w:r>
        <w:rPr>
          <w:rFonts w:hint="eastAsia"/>
          <w:sz w:val="21"/>
          <w:szCs w:val="21"/>
        </w:rPr>
        <w:t>03S702</w:t>
      </w:r>
    </w:p>
    <w:p>
      <w:pPr>
        <w:spacing w:line="360" w:lineRule="auto"/>
        <w:ind w:firstLine="420" w:firstLineChars="200"/>
        <w:rPr>
          <w:sz w:val="21"/>
          <w:szCs w:val="21"/>
        </w:rPr>
      </w:pPr>
      <w:r>
        <w:rPr>
          <w:sz w:val="21"/>
          <w:szCs w:val="21"/>
        </w:rPr>
        <w:t>(13)《工程建设标准强制性条文》（</w:t>
      </w:r>
      <w:r>
        <w:rPr>
          <w:rFonts w:hint="eastAsia"/>
          <w:sz w:val="21"/>
          <w:szCs w:val="21"/>
        </w:rPr>
        <w:t>2013版</w:t>
      </w:r>
      <w:r>
        <w:rPr>
          <w:sz w:val="21"/>
          <w:szCs w:val="21"/>
        </w:rPr>
        <w:t>）；</w:t>
      </w:r>
    </w:p>
    <w:p>
      <w:pPr>
        <w:spacing w:line="360" w:lineRule="auto"/>
        <w:ind w:firstLine="420" w:firstLineChars="200"/>
        <w:rPr>
          <w:sz w:val="21"/>
          <w:szCs w:val="21"/>
        </w:rPr>
      </w:pPr>
      <w:r>
        <w:rPr>
          <w:sz w:val="21"/>
          <w:szCs w:val="21"/>
        </w:rPr>
        <w:t>(14)建设部及交通部颁布现行的有关“规范”、“标准”、“规程”；</w:t>
      </w:r>
    </w:p>
    <w:p>
      <w:pPr>
        <w:spacing w:line="360" w:lineRule="auto"/>
        <w:ind w:firstLine="421" w:firstLineChars="200"/>
        <w:outlineLvl w:val="0"/>
        <w:rPr>
          <w:rFonts w:hint="eastAsia"/>
          <w:b/>
          <w:sz w:val="21"/>
          <w:szCs w:val="21"/>
        </w:rPr>
      </w:pPr>
      <w:r>
        <w:rPr>
          <w:rFonts w:hint="eastAsia"/>
          <w:b/>
          <w:sz w:val="21"/>
          <w:szCs w:val="21"/>
        </w:rPr>
        <w:t>四、设计原则</w:t>
      </w:r>
    </w:p>
    <w:p>
      <w:pPr>
        <w:spacing w:line="360" w:lineRule="auto"/>
        <w:ind w:firstLine="420" w:firstLineChars="200"/>
        <w:outlineLvl w:val="0"/>
        <w:rPr>
          <w:rFonts w:ascii="宋体" w:hAnsi="宋体"/>
          <w:sz w:val="21"/>
          <w:szCs w:val="21"/>
        </w:rPr>
      </w:pPr>
      <w:r>
        <w:rPr>
          <w:rFonts w:hint="eastAsia" w:ascii="宋体" w:hAnsi="宋体"/>
          <w:sz w:val="21"/>
          <w:szCs w:val="21"/>
        </w:rPr>
        <w:t>设计满足国家及地区的规范、标准，并以修建性详细规划作为本工程的主要依据。</w:t>
      </w:r>
    </w:p>
    <w:p>
      <w:pPr>
        <w:spacing w:line="360" w:lineRule="auto"/>
        <w:ind w:firstLine="420" w:firstLineChars="200"/>
        <w:outlineLvl w:val="0"/>
        <w:rPr>
          <w:rFonts w:ascii="宋体" w:hAnsi="宋体"/>
          <w:sz w:val="21"/>
          <w:szCs w:val="21"/>
        </w:rPr>
      </w:pPr>
      <w:r>
        <w:rPr>
          <w:rFonts w:hint="eastAsia" w:ascii="宋体" w:hAnsi="宋体"/>
          <w:sz w:val="21"/>
          <w:szCs w:val="21"/>
        </w:rPr>
        <w:t>（1）排水体制：采用雨污分流制。</w:t>
      </w:r>
    </w:p>
    <w:p>
      <w:pPr>
        <w:spacing w:line="360" w:lineRule="auto"/>
        <w:ind w:firstLine="420" w:firstLineChars="200"/>
        <w:outlineLvl w:val="0"/>
        <w:rPr>
          <w:rFonts w:ascii="宋体" w:hAnsi="宋体"/>
          <w:sz w:val="21"/>
          <w:szCs w:val="21"/>
        </w:rPr>
      </w:pPr>
      <w:r>
        <w:rPr>
          <w:rFonts w:hint="eastAsia" w:ascii="宋体" w:hAnsi="宋体"/>
          <w:sz w:val="21"/>
          <w:szCs w:val="21"/>
        </w:rPr>
        <w:t>（</w:t>
      </w:r>
      <w:r>
        <w:rPr>
          <w:rFonts w:ascii="宋体" w:hAnsi="宋体"/>
          <w:sz w:val="21"/>
          <w:szCs w:val="21"/>
        </w:rPr>
        <w:t>2</w:t>
      </w:r>
      <w:r>
        <w:rPr>
          <w:rFonts w:hint="eastAsia" w:ascii="宋体" w:hAnsi="宋体"/>
          <w:sz w:val="21"/>
          <w:szCs w:val="21"/>
        </w:rPr>
        <w:t>）管道施工方法：采用开槽埋管。</w:t>
      </w:r>
    </w:p>
    <w:p>
      <w:pPr>
        <w:spacing w:line="360" w:lineRule="auto"/>
        <w:ind w:firstLine="421" w:firstLineChars="200"/>
        <w:rPr>
          <w:rFonts w:hint="eastAsia"/>
          <w:b/>
          <w:sz w:val="21"/>
          <w:szCs w:val="21"/>
        </w:rPr>
      </w:pPr>
      <w:r>
        <w:rPr>
          <w:rFonts w:hint="eastAsia"/>
          <w:b/>
          <w:sz w:val="21"/>
          <w:szCs w:val="21"/>
        </w:rPr>
        <w:t>五、场地地质情况</w:t>
      </w:r>
    </w:p>
    <w:p>
      <w:pPr>
        <w:spacing w:line="360" w:lineRule="auto"/>
        <w:ind w:firstLine="420" w:firstLineChars="200"/>
        <w:outlineLvl w:val="0"/>
        <w:rPr>
          <w:sz w:val="21"/>
          <w:szCs w:val="21"/>
        </w:rPr>
      </w:pPr>
      <w:r>
        <w:rPr>
          <w:sz w:val="21"/>
          <w:szCs w:val="21"/>
        </w:rPr>
        <w:t>1、地层岩性</w:t>
      </w:r>
    </w:p>
    <w:p>
      <w:pPr>
        <w:adjustRightInd w:val="0"/>
        <w:snapToGrid w:val="0"/>
        <w:spacing w:line="360" w:lineRule="auto"/>
        <w:ind w:firstLine="420" w:firstLineChars="200"/>
        <w:jc w:val="left"/>
        <w:rPr>
          <w:color w:val="000000"/>
          <w:sz w:val="21"/>
          <w:szCs w:val="21"/>
        </w:rPr>
      </w:pPr>
      <w:r>
        <w:rPr>
          <w:color w:val="000000"/>
          <w:sz w:val="21"/>
          <w:szCs w:val="21"/>
        </w:rPr>
        <w:t>区内地层简单，侏罗系地层分布广泛，为内陆河湖相沉积的碎屑岩、</w:t>
      </w:r>
      <w:r>
        <w:rPr>
          <w:rFonts w:hint="eastAsia"/>
          <w:color w:val="000000"/>
          <w:sz w:val="21"/>
          <w:szCs w:val="21"/>
        </w:rPr>
        <w:t>黏土</w:t>
      </w:r>
      <w:r>
        <w:rPr>
          <w:color w:val="000000"/>
          <w:sz w:val="21"/>
          <w:szCs w:val="21"/>
        </w:rPr>
        <w:t>岩，侏罗系上统蓬莱镇组(J</w:t>
      </w:r>
      <w:r>
        <w:rPr>
          <w:color w:val="000000"/>
          <w:sz w:val="21"/>
          <w:szCs w:val="21"/>
          <w:vertAlign w:val="subscript"/>
        </w:rPr>
        <w:t>3</w:t>
      </w:r>
      <w:r>
        <w:rPr>
          <w:color w:val="000000"/>
          <w:sz w:val="21"/>
          <w:szCs w:val="21"/>
        </w:rPr>
        <w:t>p)泥岩、</w:t>
      </w:r>
      <w:r>
        <w:rPr>
          <w:rFonts w:hint="eastAsia"/>
          <w:color w:val="000000"/>
          <w:sz w:val="21"/>
          <w:szCs w:val="21"/>
        </w:rPr>
        <w:t>泥质砂岩</w:t>
      </w:r>
      <w:r>
        <w:rPr>
          <w:color w:val="000000"/>
          <w:sz w:val="21"/>
          <w:szCs w:val="21"/>
        </w:rPr>
        <w:t>、粉砂岩、砂岩。分布于河道两岸，形成陡崖和斜坡。</w:t>
      </w:r>
    </w:p>
    <w:p>
      <w:pPr>
        <w:spacing w:line="360" w:lineRule="auto"/>
        <w:ind w:firstLine="420" w:firstLineChars="200"/>
        <w:rPr>
          <w:rFonts w:hint="eastAsia"/>
          <w:color w:val="000000"/>
          <w:sz w:val="21"/>
          <w:szCs w:val="21"/>
          <w:lang w:eastAsia="zh-CN"/>
        </w:rPr>
      </w:pPr>
      <w:r>
        <w:rPr>
          <w:color w:val="000000"/>
          <w:sz w:val="21"/>
          <w:szCs w:val="21"/>
        </w:rPr>
        <w:t>第四系(Q)</w:t>
      </w:r>
      <w:r>
        <w:rPr>
          <w:rFonts w:hint="eastAsia"/>
          <w:color w:val="000000"/>
          <w:sz w:val="21"/>
          <w:szCs w:val="21"/>
        </w:rPr>
        <w:t>在场区广泛分布</w:t>
      </w:r>
      <w:r>
        <w:rPr>
          <w:color w:val="000000"/>
          <w:sz w:val="21"/>
          <w:szCs w:val="21"/>
        </w:rPr>
        <w:t>，层厚不大，成因类型多样，缓坡</w:t>
      </w:r>
      <w:r>
        <w:rPr>
          <w:rFonts w:hint="eastAsia"/>
          <w:color w:val="000000"/>
          <w:sz w:val="21"/>
          <w:szCs w:val="21"/>
        </w:rPr>
        <w:t>、谷地</w:t>
      </w:r>
      <w:r>
        <w:rPr>
          <w:color w:val="000000"/>
          <w:sz w:val="21"/>
          <w:szCs w:val="21"/>
        </w:rPr>
        <w:t>地段以</w:t>
      </w:r>
      <w:r>
        <w:rPr>
          <w:rFonts w:hint="eastAsia"/>
          <w:color w:val="000000"/>
          <w:sz w:val="21"/>
          <w:szCs w:val="21"/>
        </w:rPr>
        <w:t>粉质黏土</w:t>
      </w:r>
      <w:r>
        <w:rPr>
          <w:color w:val="000000"/>
          <w:sz w:val="21"/>
          <w:szCs w:val="21"/>
        </w:rPr>
        <w:t>为主；河床内以</w:t>
      </w:r>
      <w:r>
        <w:rPr>
          <w:rFonts w:hint="eastAsia"/>
          <w:color w:val="000000"/>
          <w:sz w:val="21"/>
          <w:szCs w:val="21"/>
        </w:rPr>
        <w:t>冲洪积</w:t>
      </w:r>
      <w:r>
        <w:rPr>
          <w:color w:val="000000"/>
          <w:sz w:val="21"/>
          <w:szCs w:val="21"/>
        </w:rPr>
        <w:t>粉土、粉细砂、</w:t>
      </w:r>
      <w:r>
        <w:rPr>
          <w:rFonts w:hint="eastAsia"/>
          <w:color w:val="000000"/>
          <w:sz w:val="21"/>
          <w:szCs w:val="21"/>
        </w:rPr>
        <w:t>快</w:t>
      </w:r>
      <w:r>
        <w:rPr>
          <w:color w:val="000000"/>
          <w:sz w:val="21"/>
          <w:szCs w:val="21"/>
        </w:rPr>
        <w:t>石</w:t>
      </w:r>
      <w:r>
        <w:rPr>
          <w:rFonts w:hint="eastAsia"/>
          <w:color w:val="000000"/>
          <w:sz w:val="21"/>
          <w:szCs w:val="21"/>
        </w:rPr>
        <w:t>等</w:t>
      </w:r>
      <w:r>
        <w:rPr>
          <w:color w:val="000000"/>
          <w:sz w:val="21"/>
          <w:szCs w:val="21"/>
        </w:rPr>
        <w:t>为主，与下伏侏罗系上统蓬莱镇组（J</w:t>
      </w:r>
      <w:r>
        <w:rPr>
          <w:color w:val="000000"/>
          <w:sz w:val="21"/>
          <w:szCs w:val="21"/>
          <w:vertAlign w:val="subscript"/>
        </w:rPr>
        <w:t>3</w:t>
      </w:r>
      <w:r>
        <w:rPr>
          <w:color w:val="000000"/>
          <w:sz w:val="21"/>
          <w:szCs w:val="21"/>
        </w:rPr>
        <w:t>p）呈不整合接触</w:t>
      </w:r>
      <w:r>
        <w:rPr>
          <w:rFonts w:hint="eastAsia"/>
          <w:color w:val="000000"/>
          <w:sz w:val="21"/>
          <w:szCs w:val="21"/>
          <w:lang w:eastAsia="zh-CN"/>
        </w:rPr>
        <w:t>，</w:t>
      </w:r>
      <w:r>
        <w:rPr>
          <w:color w:val="000000"/>
          <w:sz w:val="21"/>
          <w:szCs w:val="21"/>
        </w:rPr>
        <w:t>各地层特征如下表</w:t>
      </w:r>
    </w:p>
    <w:tbl>
      <w:tblPr>
        <w:tblStyle w:val="21"/>
        <w:tblW w:w="93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313"/>
        <w:gridCol w:w="1369"/>
        <w:gridCol w:w="691"/>
        <w:gridCol w:w="5812"/>
        <w:gridCol w:w="11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562" w:hRule="atLeast"/>
          <w:jc w:val="center"/>
        </w:trPr>
        <w:tc>
          <w:tcPr>
            <w:tcW w:w="313" w:type="dxa"/>
            <w:tcBorders>
              <w:top w:val="single" w:color="auto" w:sz="12" w:space="0"/>
              <w:left w:val="single" w:color="auto" w:sz="12" w:space="0"/>
            </w:tcBorders>
            <w:noWrap w:val="0"/>
            <w:vAlign w:val="center"/>
          </w:tcPr>
          <w:p>
            <w:pPr>
              <w:adjustRightInd w:val="0"/>
              <w:snapToGrid w:val="0"/>
              <w:jc w:val="center"/>
              <w:rPr>
                <w:sz w:val="21"/>
                <w:szCs w:val="21"/>
              </w:rPr>
            </w:pPr>
            <w:r>
              <w:rPr>
                <w:sz w:val="21"/>
                <w:szCs w:val="21"/>
              </w:rPr>
              <w:t>序号</w:t>
            </w:r>
          </w:p>
        </w:tc>
        <w:tc>
          <w:tcPr>
            <w:tcW w:w="1369" w:type="dxa"/>
            <w:tcBorders>
              <w:top w:val="single" w:color="auto" w:sz="12" w:space="0"/>
            </w:tcBorders>
            <w:noWrap w:val="0"/>
            <w:vAlign w:val="center"/>
          </w:tcPr>
          <w:p>
            <w:pPr>
              <w:snapToGrid w:val="0"/>
              <w:ind w:right="280" w:rightChars="100"/>
              <w:jc w:val="center"/>
              <w:rPr>
                <w:sz w:val="21"/>
                <w:szCs w:val="21"/>
              </w:rPr>
            </w:pPr>
            <w:r>
              <w:rPr>
                <w:sz w:val="21"/>
                <w:szCs w:val="21"/>
              </w:rPr>
              <w:t>地质</w:t>
            </w:r>
          </w:p>
          <w:p>
            <w:pPr>
              <w:snapToGrid w:val="0"/>
              <w:ind w:right="280" w:rightChars="100"/>
              <w:jc w:val="center"/>
              <w:rPr>
                <w:sz w:val="21"/>
                <w:szCs w:val="21"/>
              </w:rPr>
            </w:pPr>
            <w:r>
              <w:rPr>
                <w:sz w:val="21"/>
                <w:szCs w:val="21"/>
              </w:rPr>
              <w:t>年代</w:t>
            </w:r>
          </w:p>
        </w:tc>
        <w:tc>
          <w:tcPr>
            <w:tcW w:w="691" w:type="dxa"/>
            <w:tcBorders>
              <w:top w:val="single" w:color="auto" w:sz="12" w:space="0"/>
            </w:tcBorders>
            <w:noWrap w:val="0"/>
            <w:vAlign w:val="center"/>
          </w:tcPr>
          <w:p>
            <w:pPr>
              <w:snapToGrid w:val="0"/>
              <w:ind w:right="280" w:rightChars="100"/>
              <w:jc w:val="center"/>
              <w:rPr>
                <w:sz w:val="21"/>
                <w:szCs w:val="21"/>
              </w:rPr>
            </w:pPr>
            <w:r>
              <w:rPr>
                <w:sz w:val="21"/>
                <w:szCs w:val="21"/>
              </w:rPr>
              <w:t>地层</w:t>
            </w:r>
          </w:p>
          <w:p>
            <w:pPr>
              <w:snapToGrid w:val="0"/>
              <w:ind w:right="280" w:rightChars="100"/>
              <w:jc w:val="center"/>
              <w:rPr>
                <w:sz w:val="21"/>
                <w:szCs w:val="21"/>
              </w:rPr>
            </w:pPr>
            <w:r>
              <w:rPr>
                <w:sz w:val="21"/>
                <w:szCs w:val="21"/>
              </w:rPr>
              <w:t>代号</w:t>
            </w:r>
          </w:p>
        </w:tc>
        <w:tc>
          <w:tcPr>
            <w:tcW w:w="5812" w:type="dxa"/>
            <w:tcBorders>
              <w:top w:val="single" w:color="auto" w:sz="12" w:space="0"/>
              <w:right w:val="single" w:color="auto" w:sz="4" w:space="0"/>
            </w:tcBorders>
            <w:noWrap w:val="0"/>
            <w:vAlign w:val="center"/>
          </w:tcPr>
          <w:p>
            <w:pPr>
              <w:snapToGrid w:val="0"/>
              <w:ind w:right="280" w:rightChars="100"/>
              <w:jc w:val="center"/>
              <w:rPr>
                <w:sz w:val="21"/>
                <w:szCs w:val="21"/>
              </w:rPr>
            </w:pPr>
            <w:r>
              <w:rPr>
                <w:sz w:val="21"/>
                <w:szCs w:val="21"/>
              </w:rPr>
              <w:t>岩  性  特  征</w:t>
            </w:r>
          </w:p>
        </w:tc>
        <w:tc>
          <w:tcPr>
            <w:tcW w:w="1195" w:type="dxa"/>
            <w:tcBorders>
              <w:top w:val="single" w:color="auto" w:sz="12" w:space="0"/>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分布地段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739" w:hRule="atLeast"/>
          <w:jc w:val="center"/>
        </w:trPr>
        <w:tc>
          <w:tcPr>
            <w:tcW w:w="313" w:type="dxa"/>
            <w:tcBorders>
              <w:left w:val="single" w:color="auto" w:sz="12" w:space="0"/>
            </w:tcBorders>
            <w:noWrap w:val="0"/>
            <w:vAlign w:val="center"/>
          </w:tcPr>
          <w:p>
            <w:pPr>
              <w:adjustRightInd w:val="0"/>
              <w:snapToGrid w:val="0"/>
              <w:jc w:val="center"/>
              <w:rPr>
                <w:sz w:val="21"/>
                <w:szCs w:val="21"/>
              </w:rPr>
            </w:pPr>
            <w:r>
              <w:rPr>
                <w:sz w:val="21"/>
                <w:szCs w:val="21"/>
              </w:rPr>
              <w:t>1</w:t>
            </w:r>
          </w:p>
        </w:tc>
        <w:tc>
          <w:tcPr>
            <w:tcW w:w="1369" w:type="dxa"/>
            <w:noWrap w:val="0"/>
            <w:vAlign w:val="center"/>
          </w:tcPr>
          <w:p>
            <w:pPr>
              <w:snapToGrid w:val="0"/>
              <w:ind w:right="280" w:rightChars="100"/>
              <w:jc w:val="center"/>
              <w:rPr>
                <w:sz w:val="21"/>
                <w:szCs w:val="21"/>
              </w:rPr>
            </w:pPr>
            <w:r>
              <w:rPr>
                <w:sz w:val="21"/>
                <w:szCs w:val="21"/>
              </w:rPr>
              <w:t>第四系</w:t>
            </w:r>
          </w:p>
          <w:p>
            <w:pPr>
              <w:snapToGrid w:val="0"/>
              <w:ind w:right="280" w:rightChars="100"/>
              <w:jc w:val="center"/>
              <w:rPr>
                <w:sz w:val="21"/>
                <w:szCs w:val="21"/>
              </w:rPr>
            </w:pPr>
            <w:r>
              <w:rPr>
                <w:sz w:val="21"/>
                <w:szCs w:val="21"/>
              </w:rPr>
              <w:t>全新统</w:t>
            </w:r>
          </w:p>
        </w:tc>
        <w:tc>
          <w:tcPr>
            <w:tcW w:w="691" w:type="dxa"/>
            <w:noWrap w:val="0"/>
            <w:vAlign w:val="center"/>
          </w:tcPr>
          <w:p>
            <w:pPr>
              <w:snapToGrid w:val="0"/>
              <w:ind w:right="280" w:rightChars="100"/>
              <w:jc w:val="center"/>
              <w:rPr>
                <w:sz w:val="21"/>
                <w:szCs w:val="21"/>
              </w:rPr>
            </w:pPr>
            <w:r>
              <w:rPr>
                <w:sz w:val="21"/>
                <w:szCs w:val="21"/>
              </w:rPr>
              <w:t>Q</w:t>
            </w:r>
            <w:r>
              <w:rPr>
                <w:sz w:val="21"/>
                <w:szCs w:val="21"/>
                <w:vertAlign w:val="subscript"/>
              </w:rPr>
              <w:t>4</w:t>
            </w:r>
          </w:p>
        </w:tc>
        <w:tc>
          <w:tcPr>
            <w:tcW w:w="5812" w:type="dxa"/>
            <w:tcBorders>
              <w:right w:val="single" w:color="auto" w:sz="4" w:space="0"/>
            </w:tcBorders>
            <w:noWrap w:val="0"/>
            <w:vAlign w:val="center"/>
          </w:tcPr>
          <w:p>
            <w:pPr>
              <w:snapToGrid w:val="0"/>
              <w:ind w:right="280" w:rightChars="100" w:firstLine="315" w:firstLineChars="150"/>
              <w:rPr>
                <w:sz w:val="21"/>
                <w:szCs w:val="21"/>
              </w:rPr>
            </w:pPr>
            <w:r>
              <w:rPr>
                <w:rFonts w:hint="eastAsia"/>
                <w:sz w:val="21"/>
                <w:szCs w:val="21"/>
              </w:rPr>
              <w:t>人工填筑</w:t>
            </w:r>
            <w:r>
              <w:rPr>
                <w:sz w:val="21"/>
                <w:szCs w:val="21"/>
              </w:rPr>
              <w:t>层：为</w:t>
            </w:r>
            <w:r>
              <w:rPr>
                <w:rFonts w:hint="eastAsia"/>
                <w:sz w:val="21"/>
                <w:szCs w:val="21"/>
              </w:rPr>
              <w:t>杂</w:t>
            </w:r>
            <w:r>
              <w:rPr>
                <w:sz w:val="21"/>
                <w:szCs w:val="21"/>
              </w:rPr>
              <w:t>色</w:t>
            </w:r>
            <w:r>
              <w:rPr>
                <w:rFonts w:hint="eastAsia"/>
                <w:sz w:val="21"/>
                <w:szCs w:val="21"/>
              </w:rPr>
              <w:t>杂填</w:t>
            </w:r>
            <w:r>
              <w:rPr>
                <w:sz w:val="21"/>
                <w:szCs w:val="21"/>
              </w:rPr>
              <w:t>土，</w:t>
            </w:r>
            <w:r>
              <w:rPr>
                <w:rFonts w:hint="eastAsia"/>
                <w:sz w:val="21"/>
                <w:szCs w:val="21"/>
              </w:rPr>
              <w:t>成分以砼体、粉质粘土为主，主要为场镇建设基础，</w:t>
            </w:r>
            <w:r>
              <w:rPr>
                <w:sz w:val="21"/>
                <w:szCs w:val="21"/>
              </w:rPr>
              <w:t>层厚约</w:t>
            </w:r>
            <w:r>
              <w:rPr>
                <w:rFonts w:hint="eastAsia"/>
                <w:sz w:val="21"/>
                <w:szCs w:val="21"/>
              </w:rPr>
              <w:t>0.7</w:t>
            </w:r>
            <w:r>
              <w:rPr>
                <w:sz w:val="21"/>
                <w:szCs w:val="21"/>
              </w:rPr>
              <w:t>～</w:t>
            </w:r>
            <w:r>
              <w:rPr>
                <w:rFonts w:hint="eastAsia"/>
                <w:sz w:val="21"/>
                <w:szCs w:val="21"/>
              </w:rPr>
              <w:t>3.6</w:t>
            </w:r>
            <w:r>
              <w:rPr>
                <w:sz w:val="21"/>
                <w:szCs w:val="21"/>
              </w:rPr>
              <w:t>m。</w:t>
            </w:r>
          </w:p>
        </w:tc>
        <w:tc>
          <w:tcPr>
            <w:tcW w:w="1195" w:type="dxa"/>
            <w:tcBorders>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河漫滩及一级阶地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1373" w:hRule="atLeast"/>
          <w:jc w:val="center"/>
        </w:trPr>
        <w:tc>
          <w:tcPr>
            <w:tcW w:w="313" w:type="dxa"/>
            <w:tcBorders>
              <w:left w:val="single" w:color="auto" w:sz="12" w:space="0"/>
              <w:bottom w:val="single" w:color="auto" w:sz="12" w:space="0"/>
            </w:tcBorders>
            <w:noWrap w:val="0"/>
            <w:vAlign w:val="center"/>
          </w:tcPr>
          <w:p>
            <w:pPr>
              <w:adjustRightInd w:val="0"/>
              <w:snapToGrid w:val="0"/>
              <w:jc w:val="center"/>
              <w:rPr>
                <w:rFonts w:hint="eastAsia"/>
                <w:sz w:val="21"/>
                <w:szCs w:val="21"/>
              </w:rPr>
            </w:pPr>
            <w:r>
              <w:rPr>
                <w:rFonts w:hint="eastAsia"/>
                <w:sz w:val="21"/>
                <w:szCs w:val="21"/>
              </w:rPr>
              <w:t>2</w:t>
            </w:r>
          </w:p>
        </w:tc>
        <w:tc>
          <w:tcPr>
            <w:tcW w:w="1369" w:type="dxa"/>
            <w:tcBorders>
              <w:bottom w:val="single" w:color="auto" w:sz="12" w:space="0"/>
            </w:tcBorders>
            <w:noWrap w:val="0"/>
            <w:vAlign w:val="center"/>
          </w:tcPr>
          <w:p>
            <w:pPr>
              <w:snapToGrid w:val="0"/>
              <w:ind w:left="69" w:right="280" w:rightChars="100" w:hanging="69" w:hangingChars="33"/>
              <w:jc w:val="center"/>
              <w:rPr>
                <w:sz w:val="21"/>
                <w:szCs w:val="21"/>
              </w:rPr>
            </w:pPr>
            <w:r>
              <w:rPr>
                <w:sz w:val="21"/>
                <w:szCs w:val="21"/>
              </w:rPr>
              <w:t>侏罗系上统</w:t>
            </w:r>
          </w:p>
          <w:p>
            <w:pPr>
              <w:snapToGrid w:val="0"/>
              <w:ind w:left="69" w:right="280" w:rightChars="100" w:hanging="69" w:hangingChars="33"/>
              <w:jc w:val="center"/>
              <w:rPr>
                <w:sz w:val="21"/>
                <w:szCs w:val="21"/>
              </w:rPr>
            </w:pPr>
            <w:r>
              <w:rPr>
                <w:sz w:val="21"/>
                <w:szCs w:val="21"/>
              </w:rPr>
              <w:t>蓬莱镇组</w:t>
            </w:r>
          </w:p>
        </w:tc>
        <w:tc>
          <w:tcPr>
            <w:tcW w:w="691" w:type="dxa"/>
            <w:tcBorders>
              <w:bottom w:val="single" w:color="auto" w:sz="12" w:space="0"/>
            </w:tcBorders>
            <w:noWrap w:val="0"/>
            <w:vAlign w:val="center"/>
          </w:tcPr>
          <w:p>
            <w:pPr>
              <w:snapToGrid w:val="0"/>
              <w:ind w:right="280" w:rightChars="100"/>
              <w:jc w:val="center"/>
              <w:rPr>
                <w:sz w:val="21"/>
                <w:szCs w:val="21"/>
              </w:rPr>
            </w:pPr>
            <w:r>
              <w:rPr>
                <w:sz w:val="21"/>
                <w:szCs w:val="21"/>
              </w:rPr>
              <w:t>J</w:t>
            </w:r>
            <w:r>
              <w:rPr>
                <w:sz w:val="21"/>
                <w:szCs w:val="21"/>
                <w:vertAlign w:val="subscript"/>
              </w:rPr>
              <w:t>3p</w:t>
            </w:r>
          </w:p>
        </w:tc>
        <w:tc>
          <w:tcPr>
            <w:tcW w:w="5812" w:type="dxa"/>
            <w:tcBorders>
              <w:bottom w:val="single" w:color="auto" w:sz="12" w:space="0"/>
              <w:right w:val="single" w:color="auto" w:sz="4" w:space="0"/>
            </w:tcBorders>
            <w:noWrap w:val="0"/>
            <w:vAlign w:val="center"/>
          </w:tcPr>
          <w:p>
            <w:pPr>
              <w:snapToGrid w:val="0"/>
              <w:ind w:right="280" w:rightChars="100" w:firstLine="315" w:firstLineChars="150"/>
              <w:rPr>
                <w:sz w:val="21"/>
                <w:szCs w:val="21"/>
              </w:rPr>
            </w:pPr>
            <w:r>
              <w:rPr>
                <w:sz w:val="21"/>
                <w:szCs w:val="21"/>
              </w:rPr>
              <w:t>中、下部为紫红色泥岩，</w:t>
            </w:r>
            <w:r>
              <w:rPr>
                <w:rFonts w:hint="eastAsia"/>
                <w:sz w:val="21"/>
                <w:szCs w:val="21"/>
              </w:rPr>
              <w:t>泥质砂岩</w:t>
            </w:r>
            <w:r>
              <w:rPr>
                <w:sz w:val="21"/>
                <w:szCs w:val="21"/>
              </w:rPr>
              <w:t>、粉砂岩互层，夹紫红、灰白色厚层块状细粒长石砂岩、岩屑长石砂岩；底部为灰白色块状细-中粒长石砂岩；中部夹水云母泥岩及薄层泥灰岩；上部为紫红色泥岩，粉砂岩与灰紫色厚层块状岩屑长石砂岩、长石砂岩</w:t>
            </w:r>
            <w:r>
              <w:rPr>
                <w:rFonts w:hint="eastAsia"/>
                <w:sz w:val="21"/>
                <w:szCs w:val="21"/>
              </w:rPr>
              <w:t>不</w:t>
            </w:r>
            <w:r>
              <w:rPr>
                <w:sz w:val="21"/>
                <w:szCs w:val="21"/>
              </w:rPr>
              <w:t>等厚互层，层厚约355m。</w:t>
            </w:r>
          </w:p>
        </w:tc>
        <w:tc>
          <w:tcPr>
            <w:tcW w:w="1195" w:type="dxa"/>
            <w:tcBorders>
              <w:left w:val="single" w:color="auto" w:sz="4" w:space="0"/>
              <w:bottom w:val="single" w:color="auto" w:sz="12" w:space="0"/>
              <w:right w:val="single" w:color="auto" w:sz="12" w:space="0"/>
            </w:tcBorders>
            <w:noWrap w:val="0"/>
            <w:vAlign w:val="center"/>
          </w:tcPr>
          <w:p>
            <w:pPr>
              <w:snapToGrid w:val="0"/>
              <w:ind w:right="280" w:rightChars="100"/>
              <w:jc w:val="center"/>
              <w:rPr>
                <w:sz w:val="21"/>
                <w:szCs w:val="21"/>
              </w:rPr>
            </w:pPr>
            <w:r>
              <w:rPr>
                <w:sz w:val="21"/>
                <w:szCs w:val="21"/>
              </w:rPr>
              <w:t>本区域均有分布</w:t>
            </w:r>
          </w:p>
        </w:tc>
      </w:tr>
    </w:tbl>
    <w:p>
      <w:pPr>
        <w:numPr>
          <w:ilvl w:val="0"/>
          <w:numId w:val="1"/>
        </w:numPr>
        <w:spacing w:line="360" w:lineRule="auto"/>
        <w:ind w:firstLine="420" w:firstLineChars="200"/>
        <w:outlineLvl w:val="0"/>
        <w:rPr>
          <w:bCs/>
          <w:sz w:val="21"/>
          <w:szCs w:val="21"/>
        </w:rPr>
      </w:pPr>
      <w:r>
        <w:rPr>
          <w:bCs/>
          <w:sz w:val="21"/>
          <w:szCs w:val="21"/>
        </w:rPr>
        <w:t>沿线地层及特性</w:t>
      </w:r>
    </w:p>
    <w:p>
      <w:pPr>
        <w:numPr>
          <w:ilvl w:val="0"/>
          <w:numId w:val="0"/>
        </w:numPr>
        <w:spacing w:line="360" w:lineRule="auto"/>
        <w:outlineLvl w:val="0"/>
        <w:rPr>
          <w:rFonts w:hint="eastAsia"/>
          <w:bCs/>
          <w:sz w:val="21"/>
          <w:szCs w:val="21"/>
        </w:rPr>
      </w:pPr>
      <w:r>
        <w:rPr>
          <w:rFonts w:hint="eastAsia"/>
          <w:bCs/>
          <w:sz w:val="21"/>
          <w:szCs w:val="21"/>
        </w:rPr>
        <w:t xml:space="preserve"> </w:t>
      </w:r>
      <w:r>
        <w:rPr>
          <w:rFonts w:hint="eastAsia"/>
          <w:bCs/>
          <w:sz w:val="21"/>
          <w:szCs w:val="21"/>
          <w:lang w:val="en-US" w:eastAsia="zh-CN"/>
        </w:rPr>
        <w:t xml:space="preserve">   </w:t>
      </w:r>
      <w:r>
        <w:rPr>
          <w:rFonts w:hint="eastAsia"/>
          <w:bCs/>
          <w:sz w:val="21"/>
          <w:szCs w:val="21"/>
        </w:rPr>
        <w:t>在本次勘察深度范围内，管道沿线地层主要由第四系全新统人工填筑层（Q4ml）、第四系全新统冲洪积层（Q4al+pl）以及下伏侏罗纪蓬莱镇组（J3p）基岩组成。现将沿线各土层的结构特征分述如下：</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2.1</w:t>
      </w:r>
      <w:r>
        <w:rPr>
          <w:rFonts w:hint="eastAsia"/>
          <w:bCs/>
          <w:sz w:val="21"/>
          <w:szCs w:val="21"/>
        </w:rPr>
        <w:t>第四系全新统人工填筑层（Q4ml）：</w:t>
      </w:r>
    </w:p>
    <w:p>
      <w:pPr>
        <w:numPr>
          <w:ilvl w:val="0"/>
          <w:numId w:val="0"/>
        </w:numPr>
        <w:spacing w:line="360" w:lineRule="auto"/>
        <w:ind w:firstLine="420" w:firstLineChars="200"/>
        <w:outlineLvl w:val="0"/>
        <w:rPr>
          <w:rFonts w:hint="eastAsia"/>
          <w:bCs/>
          <w:sz w:val="21"/>
          <w:szCs w:val="21"/>
        </w:rPr>
      </w:pPr>
      <w:r>
        <w:rPr>
          <w:rFonts w:hint="eastAsia"/>
          <w:bCs/>
          <w:sz w:val="21"/>
          <w:szCs w:val="21"/>
        </w:rPr>
        <w:t>杂填土：拟建管道沿线广泛分布，杂色，松散～稍密状，为原城区道路地基。主要由砼体、卵石、粉质粘土等组成，砼体、卵石粒径以5-10cm为主，少量大于15cm，含量约占65%-75%，层厚0.9～4.8m左右。回填年限小于5年，未固结。</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2</w:t>
      </w:r>
      <w:r>
        <w:rPr>
          <w:rFonts w:hint="eastAsia"/>
          <w:bCs/>
          <w:sz w:val="21"/>
          <w:szCs w:val="21"/>
        </w:rPr>
        <w:t>第四系全新统冲洪积层（Q4al+pl）：粉土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褐灰色为主，稍湿～湿，中密状，干强度低，韧性低，无光泽反应，摇振反应强。揭露埋深2.10～3.20m，顶面埋深标高329.310～330.630m，揭露层厚3.20～4.30m。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3</w:t>
      </w:r>
      <w:r>
        <w:rPr>
          <w:rFonts w:hint="eastAsia"/>
          <w:bCs/>
          <w:sz w:val="21"/>
          <w:szCs w:val="21"/>
        </w:rPr>
        <w:t>第四系全新统冲洪积层（Q4al+pl）：粉质黏土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褐黄色，稍湿，可塑状。成分以黏土矿物为主；切面光滑，韧性中等，干强度中等，无摇震反应。揭露埋深0.40～4.80m，顶面埋深标高328.220～337.310m，揭示厚度0.50～4.30m。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4</w:t>
      </w:r>
      <w:r>
        <w:rPr>
          <w:rFonts w:hint="eastAsia"/>
          <w:bCs/>
          <w:sz w:val="21"/>
          <w:szCs w:val="21"/>
        </w:rPr>
        <w:t>侏罗纪蓬莱镇组（J3P）：泥岩</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场地内钻孔均有所揭示，紫红色，成分以石英、长石及黏土矿物为主。泥质粉砂结构，薄层状构造，泥钙质胶结，风化裂隙发育，取芯较为破碎，钻孔揭示深度范围内该层为强风化、中风化层。</w:t>
      </w:r>
    </w:p>
    <w:p>
      <w:pPr>
        <w:numPr>
          <w:ilvl w:val="0"/>
          <w:numId w:val="0"/>
        </w:numPr>
        <w:spacing w:line="360" w:lineRule="auto"/>
        <w:ind w:firstLine="420" w:firstLineChars="200"/>
        <w:outlineLvl w:val="0"/>
        <w:rPr>
          <w:rFonts w:hint="eastAsia"/>
          <w:bCs/>
          <w:sz w:val="21"/>
          <w:szCs w:val="21"/>
        </w:rPr>
      </w:pPr>
      <w:r>
        <w:rPr>
          <w:rFonts w:hint="eastAsia"/>
          <w:bCs/>
          <w:sz w:val="21"/>
          <w:szCs w:val="21"/>
        </w:rPr>
        <w:t>强风化层：风化裂隙发育，岩性较软，岩体破碎，岩芯呈碎块状及短柱状，用镐可挖掘，干钻可钻进，岩芯采取率在70%左右，RQD值20左右，分布于场地南侧地段砂岩顶面，层厚1.1～2.6m。</w:t>
      </w:r>
    </w:p>
    <w:p>
      <w:pPr>
        <w:numPr>
          <w:ilvl w:val="0"/>
          <w:numId w:val="0"/>
        </w:numPr>
        <w:spacing w:line="360" w:lineRule="auto"/>
        <w:ind w:firstLine="420" w:firstLineChars="200"/>
        <w:outlineLvl w:val="0"/>
        <w:rPr>
          <w:rFonts w:hint="eastAsia"/>
          <w:bCs/>
          <w:sz w:val="21"/>
          <w:szCs w:val="21"/>
        </w:rPr>
      </w:pPr>
      <w:r>
        <w:rPr>
          <w:rFonts w:hint="eastAsia"/>
          <w:bCs/>
          <w:sz w:val="21"/>
          <w:szCs w:val="21"/>
        </w:rPr>
        <w:t>中风化层：风化裂隙较发育，岩性相对较硬，指甲能刻划成浅槽，未见构造裂隙，岩芯钻方可钻进，岩芯呈短柱状，偶呈长柱状，岩芯采取率在95%左右，RQD值90左右，岩体完整程度为较完整，主要分布于强风化基岩层以下，揭露层厚1.4～4.9m。</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地表水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区地表水主要为场地周边居民生活用水及场镇排污渠。前者高层约329.00左右，水量较小，易受污染，以向下渗透的方式排泄。后者水量较小，受大气降水及上游来水补给，水位受降雨影响，以倾向下游的方式汇入涪江下游。</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w:t>
      </w:r>
      <w:r>
        <w:rPr>
          <w:rFonts w:hint="eastAsia"/>
          <w:bCs/>
          <w:sz w:val="21"/>
          <w:szCs w:val="21"/>
          <w:lang w:eastAsia="zh-CN"/>
        </w:rPr>
        <w:t>下</w:t>
      </w:r>
      <w:r>
        <w:rPr>
          <w:rFonts w:hint="eastAsia"/>
          <w:bCs/>
          <w:sz w:val="21"/>
          <w:szCs w:val="21"/>
        </w:rPr>
        <w:t>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工作区内地下水主要类型为基岩裂隙水。主要赋存于基岩裂隙中，裂隙水受岩性及构造控制，其埋藏、补给、运移、排泄条件复杂，主要通过大气降水下渗补给。本次勘察在勘探孔深度范围内未揭露地下水。据射洪县区域水文资料知，场区地下水枯、丰期水位变幅为2.0～3.0m。</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5、不良地质现象、特殊性岩土及不利埋藏物</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据勘察及工程地质测绘表明：工程区内无不良地质现象，其特殊性岩土主要为人工填筑土。</w:t>
      </w:r>
    </w:p>
    <w:p>
      <w:pPr>
        <w:numPr>
          <w:ilvl w:val="0"/>
          <w:numId w:val="0"/>
        </w:numPr>
        <w:spacing w:line="360" w:lineRule="auto"/>
        <w:outlineLvl w:val="0"/>
        <w:rPr>
          <w:rFonts w:hint="eastAsia"/>
          <w:b/>
          <w:sz w:val="21"/>
          <w:szCs w:val="21"/>
        </w:rPr>
      </w:pPr>
      <w:r>
        <w:rPr>
          <w:rFonts w:hint="eastAsia"/>
          <w:bCs/>
          <w:sz w:val="21"/>
          <w:szCs w:val="21"/>
          <w:lang w:val="en-US" w:eastAsia="zh-CN"/>
        </w:rPr>
        <w:t>人工填土层：主要为原路路基等，成分复杂、结构松散，且局部有架空现象，故开挖施工时宜对其进行清除处理。</w:t>
      </w:r>
    </w:p>
    <w:p>
      <w:pPr>
        <w:spacing w:line="360" w:lineRule="auto"/>
        <w:ind w:firstLine="421" w:firstLineChars="200"/>
        <w:rPr>
          <w:rFonts w:hint="eastAsia"/>
          <w:b/>
          <w:sz w:val="21"/>
          <w:szCs w:val="21"/>
        </w:rPr>
      </w:pPr>
      <w:r>
        <w:rPr>
          <w:rFonts w:hint="eastAsia"/>
          <w:b/>
          <w:sz w:val="21"/>
          <w:szCs w:val="21"/>
          <w:lang w:eastAsia="zh-CN"/>
        </w:rPr>
        <w:t>六</w:t>
      </w:r>
      <w:r>
        <w:rPr>
          <w:rFonts w:hint="eastAsia"/>
          <w:b/>
          <w:sz w:val="21"/>
          <w:szCs w:val="21"/>
        </w:rPr>
        <w:t>、排水体制、管道布置及管径</w:t>
      </w:r>
    </w:p>
    <w:p>
      <w:pPr>
        <w:pStyle w:val="66"/>
        <w:snapToGrid w:val="0"/>
        <w:spacing w:line="360" w:lineRule="auto"/>
        <w:ind w:firstLine="420" w:firstLineChars="200"/>
        <w:jc w:val="both"/>
        <w:rPr>
          <w:rFonts w:hint="eastAsia" w:ascii="Times New Roman" w:eastAsia="宋体" w:cs="Times New Roman"/>
          <w:color w:val="auto"/>
          <w:kern w:val="2"/>
          <w:sz w:val="21"/>
          <w:szCs w:val="21"/>
        </w:rPr>
      </w:pPr>
      <w:r>
        <w:rPr>
          <w:rFonts w:hint="eastAsia" w:ascii="Times New Roman" w:eastAsia="宋体" w:cs="Times New Roman"/>
          <w:color w:val="auto"/>
          <w:kern w:val="2"/>
          <w:sz w:val="21"/>
          <w:szCs w:val="21"/>
        </w:rPr>
        <w:t>1.本工程排水体制设计为雨、污分流制。</w:t>
      </w:r>
    </w:p>
    <w:p>
      <w:pPr>
        <w:pStyle w:val="66"/>
        <w:snapToGrid w:val="0"/>
        <w:spacing w:line="360" w:lineRule="auto"/>
        <w:ind w:firstLine="420" w:firstLineChars="200"/>
        <w:jc w:val="both"/>
        <w:rPr>
          <w:rFonts w:ascii="Times New Roman" w:eastAsia="宋体" w:cs="Times New Roman"/>
          <w:color w:val="auto"/>
          <w:kern w:val="2"/>
          <w:sz w:val="21"/>
          <w:szCs w:val="21"/>
        </w:rPr>
      </w:pPr>
      <w:r>
        <w:rPr>
          <w:rFonts w:hint="eastAsia" w:ascii="Times New Roman" w:eastAsia="宋体" w:cs="Times New Roman"/>
          <w:color w:val="auto"/>
          <w:kern w:val="2"/>
          <w:sz w:val="21"/>
          <w:szCs w:val="21"/>
        </w:rPr>
        <w:t>2.本项目污水根据实际</w:t>
      </w:r>
      <w:r>
        <w:rPr>
          <w:rFonts w:ascii="Times New Roman" w:eastAsia="宋体" w:cs="Times New Roman"/>
          <w:color w:val="auto"/>
          <w:kern w:val="2"/>
          <w:sz w:val="21"/>
          <w:szCs w:val="21"/>
        </w:rPr>
        <w:t>情况</w:t>
      </w:r>
      <w:r>
        <w:rPr>
          <w:rFonts w:hint="eastAsia" w:ascii="Times New Roman" w:eastAsia="宋体" w:cs="Times New Roman"/>
          <w:color w:val="auto"/>
          <w:kern w:val="2"/>
          <w:sz w:val="21"/>
          <w:szCs w:val="21"/>
        </w:rPr>
        <w:t>敷设</w:t>
      </w:r>
      <w:r>
        <w:rPr>
          <w:rFonts w:ascii="Times New Roman" w:eastAsia="宋体" w:cs="Times New Roman"/>
          <w:color w:val="auto"/>
          <w:kern w:val="2"/>
          <w:sz w:val="21"/>
          <w:szCs w:val="21"/>
        </w:rPr>
        <w:t>污水管线</w:t>
      </w:r>
      <w:r>
        <w:rPr>
          <w:rFonts w:hint="eastAsia" w:ascii="Times New Roman" w:eastAsia="宋体" w:cs="Times New Roman"/>
          <w:color w:val="auto"/>
          <w:kern w:val="2"/>
          <w:sz w:val="21"/>
          <w:szCs w:val="21"/>
        </w:rPr>
        <w:t>，主要收集道路及两侧地块污水。</w:t>
      </w:r>
    </w:p>
    <w:p>
      <w:pPr>
        <w:pStyle w:val="66"/>
        <w:snapToGrid w:val="0"/>
        <w:spacing w:line="360" w:lineRule="auto"/>
        <w:ind w:firstLine="420" w:firstLineChars="200"/>
        <w:jc w:val="both"/>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3.本次设计污水管线位于道路边线外侧1米位置。</w:t>
      </w:r>
    </w:p>
    <w:p>
      <w:pPr>
        <w:spacing w:line="360" w:lineRule="auto"/>
        <w:ind w:firstLine="420" w:firstLineChars="200"/>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污水管管径d400。</w:t>
      </w:r>
    </w:p>
    <w:p>
      <w:pPr>
        <w:spacing w:line="360" w:lineRule="auto"/>
        <w:ind w:firstLine="421" w:firstLineChars="200"/>
        <w:rPr>
          <w:rFonts w:hint="eastAsia"/>
          <w:b/>
          <w:sz w:val="21"/>
          <w:szCs w:val="21"/>
        </w:rPr>
      </w:pPr>
      <w:r>
        <w:rPr>
          <w:rFonts w:hint="eastAsia"/>
          <w:b/>
          <w:sz w:val="21"/>
          <w:szCs w:val="21"/>
          <w:lang w:eastAsia="zh-CN"/>
        </w:rPr>
        <w:t>七</w:t>
      </w:r>
      <w:r>
        <w:rPr>
          <w:rFonts w:hint="eastAsia"/>
          <w:b/>
          <w:sz w:val="21"/>
          <w:szCs w:val="21"/>
        </w:rPr>
        <w:t>、管材</w:t>
      </w:r>
    </w:p>
    <w:p>
      <w:pPr>
        <w:spacing w:line="360" w:lineRule="auto"/>
        <w:ind w:firstLine="420" w:firstLineChars="200"/>
        <w:rPr>
          <w:rFonts w:hint="eastAsia"/>
          <w:sz w:val="21"/>
          <w:szCs w:val="21"/>
        </w:rPr>
      </w:pPr>
      <w:r>
        <w:rPr>
          <w:rFonts w:hint="eastAsia" w:ascii="Times New Roman" w:eastAsia="宋体" w:cs="Times New Roman"/>
          <w:color w:val="auto"/>
          <w:kern w:val="2"/>
          <w:sz w:val="21"/>
          <w:szCs w:val="21"/>
          <w:lang w:val="en-US" w:eastAsia="zh-CN" w:bidi="ar-SA"/>
        </w:rPr>
        <w:t>排水管道可以采用的管材很多,</w:t>
      </w:r>
      <w:r>
        <w:rPr>
          <w:rFonts w:hint="eastAsia"/>
          <w:sz w:val="21"/>
          <w:szCs w:val="21"/>
        </w:rPr>
        <w:t>根据技术经济方面以及管道覆土厚度的考虑,本工程选用Ⅱ级承插式钢筋混凝土排水管，管线过河段</w:t>
      </w:r>
      <w:r>
        <w:rPr>
          <w:sz w:val="21"/>
          <w:szCs w:val="21"/>
        </w:rPr>
        <w:t>采用无缝钢管</w:t>
      </w:r>
      <w:r>
        <w:rPr>
          <w:rFonts w:hint="eastAsia"/>
          <w:sz w:val="21"/>
          <w:szCs w:val="21"/>
        </w:rPr>
        <w:t>。</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八</w:t>
      </w:r>
      <w:r>
        <w:rPr>
          <w:rFonts w:hint="eastAsia"/>
          <w:b/>
          <w:sz w:val="21"/>
          <w:szCs w:val="21"/>
        </w:rPr>
        <w:t>、管道基础</w:t>
      </w:r>
    </w:p>
    <w:p>
      <w:pPr>
        <w:spacing w:line="360" w:lineRule="auto"/>
        <w:ind w:firstLine="420" w:firstLineChars="200"/>
        <w:rPr>
          <w:rFonts w:hint="eastAsia"/>
          <w:sz w:val="21"/>
          <w:szCs w:val="21"/>
        </w:rPr>
      </w:pPr>
      <w:r>
        <w:rPr>
          <w:rFonts w:hint="eastAsia"/>
          <w:sz w:val="21"/>
          <w:szCs w:val="21"/>
        </w:rPr>
        <w:t>本次设计均采用Ⅱ级承插式钢筋混凝土排水管，1</w:t>
      </w:r>
      <w:r>
        <w:rPr>
          <w:rFonts w:hint="eastAsia"/>
          <w:sz w:val="21"/>
          <w:szCs w:val="21"/>
          <w:lang w:val="en-US" w:eastAsia="zh-CN"/>
        </w:rPr>
        <w:t>20</w:t>
      </w:r>
      <w:r>
        <w:rPr>
          <w:rFonts w:hint="eastAsia"/>
          <w:sz w:val="21"/>
          <w:szCs w:val="21"/>
        </w:rPr>
        <w:t>度</w:t>
      </w:r>
      <w:r>
        <w:rPr>
          <w:rFonts w:hint="eastAsia"/>
          <w:sz w:val="21"/>
          <w:szCs w:val="21"/>
          <w:lang w:eastAsia="zh-CN"/>
        </w:rPr>
        <w:t>混凝土</w:t>
      </w:r>
      <w:r>
        <w:rPr>
          <w:rFonts w:hint="eastAsia"/>
          <w:sz w:val="21"/>
          <w:szCs w:val="21"/>
        </w:rPr>
        <w:t>基础，作法见国标图集06MS201。</w:t>
      </w:r>
    </w:p>
    <w:p>
      <w:pPr>
        <w:spacing w:line="360" w:lineRule="auto"/>
        <w:ind w:firstLine="420" w:firstLineChars="200"/>
        <w:rPr>
          <w:rFonts w:hint="eastAsia"/>
          <w:sz w:val="21"/>
          <w:szCs w:val="21"/>
        </w:rPr>
      </w:pPr>
      <w:r>
        <w:rPr>
          <w:rFonts w:hint="eastAsia"/>
          <w:sz w:val="21"/>
          <w:szCs w:val="21"/>
        </w:rPr>
        <w:t>其管材采用承插连接，</w:t>
      </w:r>
      <w:r>
        <w:rPr>
          <w:rFonts w:hint="eastAsia"/>
          <w:sz w:val="21"/>
          <w:szCs w:val="21"/>
          <w:lang w:val="en-US" w:eastAsia="zh-CN"/>
        </w:rPr>
        <w:t>1:2水泥砂浆捻缝（加抹三角灰）</w:t>
      </w:r>
      <w:r>
        <w:rPr>
          <w:rFonts w:hint="eastAsia"/>
          <w:sz w:val="21"/>
          <w:szCs w:val="21"/>
          <w:lang w:eastAsia="zh-CN"/>
        </w:rPr>
        <w:t>接口</w:t>
      </w:r>
      <w:r>
        <w:rPr>
          <w:rFonts w:hint="eastAsia"/>
          <w:sz w:val="21"/>
          <w:szCs w:val="21"/>
        </w:rPr>
        <w:t>。</w:t>
      </w:r>
    </w:p>
    <w:p>
      <w:pPr>
        <w:spacing w:before="156" w:beforeLines="50" w:line="360" w:lineRule="auto"/>
        <w:ind w:firstLine="420" w:firstLineChars="200"/>
        <w:outlineLvl w:val="0"/>
        <w:rPr>
          <w:rFonts w:hint="eastAsia"/>
          <w:sz w:val="21"/>
          <w:szCs w:val="21"/>
        </w:rPr>
      </w:pPr>
      <w:r>
        <w:rPr>
          <w:rFonts w:hint="eastAsia"/>
          <w:sz w:val="21"/>
          <w:szCs w:val="21"/>
        </w:rPr>
        <w:t>Ⅱ、Ⅲ级钢筋砼管，接口均采用</w:t>
      </w:r>
      <w:r>
        <w:rPr>
          <w:rFonts w:hint="eastAsia"/>
          <w:sz w:val="21"/>
          <w:szCs w:val="21"/>
          <w:lang w:eastAsia="zh-CN"/>
        </w:rPr>
        <w:t>刚性填料</w:t>
      </w:r>
      <w:r>
        <w:rPr>
          <w:rFonts w:hint="eastAsia"/>
          <w:sz w:val="21"/>
          <w:szCs w:val="21"/>
        </w:rPr>
        <w:t>，具体做法见图集06MS201-1。</w:t>
      </w:r>
    </w:p>
    <w:p>
      <w:pPr>
        <w:spacing w:before="156" w:beforeLines="50" w:line="360" w:lineRule="auto"/>
        <w:ind w:firstLine="421" w:firstLineChars="200"/>
        <w:outlineLvl w:val="0"/>
        <w:rPr>
          <w:rFonts w:hint="eastAsia"/>
          <w:sz w:val="21"/>
          <w:szCs w:val="21"/>
        </w:rPr>
      </w:pPr>
      <w:r>
        <w:rPr>
          <w:rFonts w:hint="eastAsia"/>
          <w:b/>
          <w:bCs/>
          <w:sz w:val="21"/>
          <w:szCs w:val="21"/>
        </w:rPr>
        <w:t>二级混凝土承插管覆土深度小于70cm时，采用C25混凝土满包基础,</w:t>
      </w:r>
      <w:r>
        <w:rPr>
          <w:rFonts w:hint="eastAsia"/>
          <w:sz w:val="21"/>
          <w:szCs w:val="21"/>
        </w:rPr>
        <w:t>地基承载力要求:R≥0.1Mpa。</w:t>
      </w:r>
    </w:p>
    <w:p>
      <w:pPr>
        <w:spacing w:before="156" w:beforeLines="50" w:line="360" w:lineRule="auto"/>
        <w:ind w:firstLine="420" w:firstLineChars="200"/>
        <w:outlineLvl w:val="0"/>
        <w:rPr>
          <w:rFonts w:hint="eastAsia"/>
          <w:sz w:val="21"/>
          <w:szCs w:val="21"/>
        </w:rPr>
      </w:pPr>
      <w:r>
        <w:rPr>
          <w:rFonts w:hint="eastAsia"/>
          <w:sz w:val="21"/>
          <w:szCs w:val="21"/>
        </w:rPr>
        <w:t>基础应夯实紧密，表面平整。管道接口部位基础应预留凹槽，以便接口操作，接口完成后，随即对凹槽用相同材料填筑密实，对于不能作管道持力层的填土地段和管道穿越低洼地带的回填地段，应按前述设计要求进行地基处理。</w:t>
      </w:r>
    </w:p>
    <w:p>
      <w:pPr>
        <w:spacing w:before="156" w:beforeLines="50" w:line="360" w:lineRule="auto"/>
        <w:ind w:firstLine="421" w:firstLineChars="200"/>
        <w:outlineLvl w:val="0"/>
        <w:rPr>
          <w:b/>
          <w:sz w:val="21"/>
          <w:szCs w:val="21"/>
        </w:rPr>
      </w:pPr>
      <w:r>
        <w:rPr>
          <w:b/>
          <w:sz w:val="21"/>
          <w:szCs w:val="21"/>
        </w:rPr>
        <w:t>十二、施工注意事项</w:t>
      </w:r>
    </w:p>
    <w:p>
      <w:pPr>
        <w:spacing w:line="360" w:lineRule="auto"/>
        <w:ind w:firstLine="420" w:firstLineChars="200"/>
        <w:rPr>
          <w:kern w:val="0"/>
          <w:sz w:val="21"/>
          <w:szCs w:val="21"/>
        </w:rPr>
      </w:pPr>
      <w:r>
        <w:rPr>
          <w:sz w:val="21"/>
          <w:szCs w:val="21"/>
        </w:rPr>
        <w:t>1．排水管道的平面位置、标高、坡度必须严格按设计图中规定执行。施工单位施工前应对排水接管点高程进行复核，施工范围内若遇其他管线，应及时与甲方联系，协同产权单位共同商定处理的方法。临时可采用撑、包、吊、顶等措施加以保护。若遇未知隐藏物或文物，应及时通知有关单位加以处理。</w:t>
      </w:r>
    </w:p>
    <w:p>
      <w:pPr>
        <w:spacing w:line="360" w:lineRule="auto"/>
        <w:ind w:firstLine="420" w:firstLineChars="200"/>
        <w:rPr>
          <w:sz w:val="21"/>
          <w:szCs w:val="21"/>
        </w:rPr>
      </w:pPr>
      <w:r>
        <w:rPr>
          <w:sz w:val="21"/>
          <w:szCs w:val="21"/>
        </w:rPr>
        <w:t>2．采用沟槽开挖施工方式，开挖的沟槽应按有关规范要求进行回填夯实。其压实度要求为：管道胸腔部分回填土最低压实度管侧部位为9</w:t>
      </w:r>
      <w:r>
        <w:rPr>
          <w:rFonts w:hint="eastAsia"/>
          <w:sz w:val="21"/>
          <w:szCs w:val="21"/>
          <w:lang w:val="en-US" w:eastAsia="zh-CN"/>
        </w:rPr>
        <w:t>5</w:t>
      </w:r>
      <w:r>
        <w:rPr>
          <w:sz w:val="21"/>
          <w:szCs w:val="21"/>
        </w:rPr>
        <w:t>%、管顶以上500mm内为8</w:t>
      </w:r>
      <w:r>
        <w:rPr>
          <w:rFonts w:hint="eastAsia"/>
          <w:sz w:val="21"/>
          <w:szCs w:val="21"/>
          <w:lang w:val="en-US" w:eastAsia="zh-CN"/>
        </w:rPr>
        <w:t>5</w:t>
      </w:r>
      <w:r>
        <w:rPr>
          <w:sz w:val="21"/>
          <w:szCs w:val="21"/>
        </w:rPr>
        <w:t>％（轻型击实标准），管顶500mm以上至道路路槽的回填土压实度按道路设计要求执行。具体详见《给水排水管道工程施工及验收规范》GB50268-2008中“4.4、4.5、4.6”相关内容。管道回填土应分层夯实，管道位于车行道下，沟槽回填宜先用中、粗砂将管底腋角部位填充密实后，再用中、粗砂分层回填到管顶以上500mm.。</w:t>
      </w:r>
    </w:p>
    <w:p>
      <w:pPr>
        <w:spacing w:line="360" w:lineRule="auto"/>
        <w:ind w:firstLine="420" w:firstLineChars="200"/>
        <w:rPr>
          <w:sz w:val="21"/>
          <w:szCs w:val="21"/>
        </w:rPr>
      </w:pPr>
      <w:r>
        <w:rPr>
          <w:sz w:val="21"/>
          <w:szCs w:val="21"/>
        </w:rPr>
        <w:t>3．可以根据现有污水管及规划污水管的支管接入需要适当调整管线上检查井的位置，但调整后的检查井间距应满足以下要求：</w:t>
      </w:r>
    </w:p>
    <w:p>
      <w:pPr>
        <w:spacing w:line="360" w:lineRule="auto"/>
        <w:ind w:firstLine="420" w:firstLineChars="200"/>
        <w:rPr>
          <w:sz w:val="21"/>
          <w:szCs w:val="21"/>
        </w:rPr>
      </w:pPr>
      <w:r>
        <w:rPr>
          <w:sz w:val="21"/>
          <w:szCs w:val="21"/>
        </w:rPr>
        <w:t>管径为200mm~400mm的，污水管最大间距40m，500mm~700mm的，污水管最大间距60m；</w:t>
      </w:r>
    </w:p>
    <w:p>
      <w:pPr>
        <w:spacing w:line="360" w:lineRule="auto"/>
        <w:ind w:firstLine="420" w:firstLineChars="200"/>
        <w:rPr>
          <w:sz w:val="21"/>
          <w:szCs w:val="21"/>
        </w:rPr>
      </w:pPr>
      <w:r>
        <w:rPr>
          <w:sz w:val="21"/>
          <w:szCs w:val="21"/>
        </w:rPr>
        <w:t>管径为800mm~1000mm的，污水管最大间距80m。</w:t>
      </w:r>
    </w:p>
    <w:p>
      <w:pPr>
        <w:spacing w:line="360" w:lineRule="auto"/>
        <w:ind w:firstLine="420" w:firstLineChars="200"/>
        <w:rPr>
          <w:sz w:val="21"/>
          <w:szCs w:val="21"/>
        </w:rPr>
      </w:pPr>
      <w:r>
        <w:rPr>
          <w:sz w:val="21"/>
          <w:szCs w:val="21"/>
        </w:rPr>
        <w:t>4．要注意区分现状雨、污水管，不要将雨水管接入污水管道内。</w:t>
      </w:r>
    </w:p>
    <w:p>
      <w:pPr>
        <w:spacing w:line="360" w:lineRule="auto"/>
        <w:ind w:firstLine="420" w:firstLineChars="200"/>
        <w:rPr>
          <w:sz w:val="21"/>
          <w:szCs w:val="21"/>
        </w:rPr>
      </w:pPr>
      <w:r>
        <w:rPr>
          <w:sz w:val="21"/>
          <w:szCs w:val="21"/>
        </w:rPr>
        <w:t>5．排水管道施工顺序宜先下游，后上游的原则进行。管道两侧应同时均匀回填，以免管道及构筑物发生位移。</w:t>
      </w:r>
    </w:p>
    <w:p>
      <w:pPr>
        <w:spacing w:line="360" w:lineRule="auto"/>
        <w:ind w:firstLine="420" w:firstLineChars="200"/>
        <w:rPr>
          <w:sz w:val="21"/>
          <w:szCs w:val="21"/>
        </w:rPr>
      </w:pPr>
      <w:r>
        <w:rPr>
          <w:sz w:val="21"/>
          <w:szCs w:val="21"/>
        </w:rPr>
        <w:t>6．各种管道相交时，若垂直距离不能满足规范要求时，管道须进行局部加强处理。</w:t>
      </w:r>
    </w:p>
    <w:p>
      <w:pPr>
        <w:spacing w:line="360" w:lineRule="auto"/>
        <w:ind w:firstLine="420" w:firstLineChars="200"/>
        <w:rPr>
          <w:sz w:val="21"/>
          <w:szCs w:val="21"/>
        </w:rPr>
      </w:pPr>
      <w:r>
        <w:rPr>
          <w:sz w:val="21"/>
          <w:szCs w:val="21"/>
        </w:rPr>
        <w:t>7．排水管道属于隐蔽工程，施工单位和有关管理部门应作好施工记录。</w:t>
      </w:r>
    </w:p>
    <w:p>
      <w:pPr>
        <w:spacing w:line="360" w:lineRule="auto"/>
        <w:ind w:firstLine="420" w:firstLineChars="200"/>
        <w:rPr>
          <w:sz w:val="21"/>
          <w:szCs w:val="21"/>
        </w:rPr>
      </w:pPr>
      <w:r>
        <w:rPr>
          <w:sz w:val="21"/>
          <w:szCs w:val="21"/>
        </w:rPr>
        <w:t>8．雨、污水管道及污水检查井按《给水排水工程施工及验收规范》的有关要求做闭水试验。雨水管道位于膨胀土层时，也应对管道及井做闭水试验。</w:t>
      </w:r>
    </w:p>
    <w:p>
      <w:pPr>
        <w:spacing w:line="360" w:lineRule="auto"/>
        <w:ind w:firstLine="420" w:firstLineChars="200"/>
        <w:rPr>
          <w:sz w:val="21"/>
          <w:szCs w:val="21"/>
        </w:rPr>
      </w:pPr>
      <w:r>
        <w:rPr>
          <w:sz w:val="21"/>
          <w:szCs w:val="21"/>
        </w:rPr>
        <w:t xml:space="preserve">9．部分现未发现的地下构筑物的拆迁工程量在施工时核定计算。    </w:t>
      </w:r>
    </w:p>
    <w:p>
      <w:pPr>
        <w:spacing w:line="360" w:lineRule="auto"/>
        <w:ind w:firstLine="420" w:firstLineChars="200"/>
        <w:rPr>
          <w:sz w:val="21"/>
          <w:szCs w:val="21"/>
        </w:rPr>
      </w:pPr>
      <w:r>
        <w:rPr>
          <w:sz w:val="21"/>
          <w:szCs w:val="21"/>
        </w:rPr>
        <w:t>10．污水管道施工时，尽量避开雨季，保证干槽施工。若汛期施工，应提前做好防雨、防雷、防触电、防坍塌及紧急遇大暴雨时的人员疏散和抢险预案及相关物资储备，做好边坡覆盖，防止雨水直接冲刷坡体，并及时启动临时排水措施，防止场地外客水入侵，同时做好槽底排水，防止雨洪浸泡槽底。</w:t>
      </w:r>
    </w:p>
    <w:p>
      <w:pPr>
        <w:spacing w:line="360" w:lineRule="auto"/>
        <w:ind w:firstLine="420" w:firstLineChars="200"/>
        <w:rPr>
          <w:sz w:val="21"/>
          <w:szCs w:val="21"/>
        </w:rPr>
      </w:pPr>
      <w:r>
        <w:rPr>
          <w:sz w:val="21"/>
          <w:szCs w:val="21"/>
        </w:rPr>
        <w:t>11．在施工开挖安装过程中，应在工作面设置安全保护栏和示警标志，入夜还要放足够数量的红灯，避免一切不安全事故的发生，以保证施工和交通安全。</w:t>
      </w:r>
    </w:p>
    <w:p>
      <w:pPr>
        <w:spacing w:line="600" w:lineRule="exact"/>
        <w:ind w:left="0" w:leftChars="0" w:firstLine="0" w:firstLineChars="0"/>
        <w:rPr>
          <w:rFonts w:hint="eastAsia"/>
          <w:sz w:val="21"/>
          <w:szCs w:val="21"/>
          <w:lang w:val="en-US" w:eastAsia="zh-CN"/>
        </w:rPr>
      </w:pPr>
      <w:r>
        <w:rPr>
          <w:rFonts w:hint="eastAsia"/>
          <w:sz w:val="21"/>
          <w:szCs w:val="21"/>
          <w:lang w:val="en-US" w:eastAsia="zh-CN"/>
        </w:rPr>
        <w:t>改建卫生间做法：根据用户原有房间砌筑180mm厚页岩砖隔墙，并预留800mmx2000mm门洞口。</w:t>
      </w:r>
    </w:p>
    <w:p>
      <w:pPr>
        <w:spacing w:line="360" w:lineRule="auto"/>
        <w:ind w:firstLine="420" w:firstLineChars="200"/>
        <w:rPr>
          <w:sz w:val="21"/>
          <w:szCs w:val="21"/>
        </w:rPr>
      </w:pPr>
      <w:r>
        <w:rPr>
          <w:sz w:val="21"/>
          <w:szCs w:val="21"/>
        </w:rPr>
        <w:t>12．同期施工的管道种类较多时，施工单位必须做好施工组织设计，先行施工重力流管道、埋设较深的管道、管径较大的管道。如有多家施工单位进行不同管道的施工，务必请建设单位做好管道施工顺序的管理工作，避免管道的碰撞引起经济损失。</w:t>
      </w:r>
    </w:p>
    <w:p>
      <w:pPr>
        <w:spacing w:before="156" w:beforeLines="50" w:line="360" w:lineRule="auto"/>
        <w:ind w:firstLine="421" w:firstLineChars="200"/>
        <w:outlineLvl w:val="0"/>
        <w:rPr>
          <w:b/>
          <w:sz w:val="21"/>
          <w:szCs w:val="21"/>
        </w:rPr>
      </w:pPr>
      <w:r>
        <w:rPr>
          <w:rFonts w:hint="eastAsia"/>
          <w:b/>
          <w:sz w:val="21"/>
          <w:szCs w:val="21"/>
          <w:lang w:eastAsia="zh-CN"/>
        </w:rPr>
        <w:t>九</w:t>
      </w:r>
      <w:r>
        <w:rPr>
          <w:b/>
          <w:sz w:val="21"/>
          <w:szCs w:val="21"/>
        </w:rPr>
        <w:t>、附属构筑物</w:t>
      </w:r>
    </w:p>
    <w:p>
      <w:pPr>
        <w:spacing w:line="360" w:lineRule="auto"/>
        <w:ind w:firstLine="421" w:firstLineChars="200"/>
        <w:jc w:val="left"/>
        <w:rPr>
          <w:b/>
          <w:sz w:val="21"/>
          <w:szCs w:val="21"/>
        </w:rPr>
      </w:pPr>
      <w:r>
        <w:rPr>
          <w:b/>
          <w:sz w:val="21"/>
          <w:szCs w:val="21"/>
        </w:rPr>
        <w:t>(1)污水检查井</w:t>
      </w:r>
    </w:p>
    <w:p>
      <w:pPr>
        <w:spacing w:line="360" w:lineRule="auto"/>
        <w:ind w:firstLine="420" w:firstLineChars="200"/>
        <w:rPr>
          <w:sz w:val="21"/>
          <w:szCs w:val="21"/>
        </w:rPr>
      </w:pPr>
      <w:r>
        <w:rPr>
          <w:sz w:val="21"/>
          <w:szCs w:val="21"/>
        </w:rPr>
        <w:t>1</w:t>
      </w:r>
      <w:r>
        <w:rPr>
          <w:rFonts w:hint="eastAsia"/>
          <w:sz w:val="21"/>
          <w:szCs w:val="21"/>
        </w:rPr>
        <w:t>)污水检查井均采用钢筋混凝土检查井。检查井的位置，应设在管道交汇处、转弯处、管径或坡度改变处、跌水处以及直线管段上每隔一定距离处。污水检查井设置距离取在规定范围内</w:t>
      </w:r>
      <w:r>
        <w:rPr>
          <w:sz w:val="21"/>
          <w:szCs w:val="21"/>
        </w:rPr>
        <w:t>的较大值，以减少道路的井量。</w:t>
      </w:r>
    </w:p>
    <w:p>
      <w:pPr>
        <w:spacing w:line="360" w:lineRule="auto"/>
        <w:ind w:firstLine="420" w:firstLineChars="200"/>
        <w:jc w:val="center"/>
        <w:rPr>
          <w:sz w:val="21"/>
          <w:szCs w:val="21"/>
        </w:rPr>
      </w:pPr>
      <w:r>
        <w:rPr>
          <w:sz w:val="21"/>
          <w:szCs w:val="21"/>
        </w:rPr>
        <w:t>检查井最大间距</w:t>
      </w:r>
    </w:p>
    <w:tbl>
      <w:tblPr>
        <w:tblStyle w:val="21"/>
        <w:tblW w:w="8849"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6"/>
        <w:gridCol w:w="2120"/>
        <w:gridCol w:w="3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blHeader/>
        </w:trPr>
        <w:tc>
          <w:tcPr>
            <w:tcW w:w="3356" w:type="dxa"/>
            <w:vMerge w:val="restart"/>
            <w:shd w:val="clear" w:color="auto" w:fill="F3F3F3"/>
            <w:noWrap w:val="0"/>
            <w:vAlign w:val="center"/>
          </w:tcPr>
          <w:p>
            <w:pPr>
              <w:spacing w:line="360" w:lineRule="auto"/>
              <w:rPr>
                <w:sz w:val="21"/>
                <w:szCs w:val="21"/>
              </w:rPr>
            </w:pPr>
            <w:r>
              <w:rPr>
                <w:sz w:val="21"/>
                <w:szCs w:val="21"/>
              </w:rPr>
              <w:t>管径或暗渠净高（mm）</w:t>
            </w:r>
          </w:p>
        </w:tc>
        <w:tc>
          <w:tcPr>
            <w:tcW w:w="5493" w:type="dxa"/>
            <w:gridSpan w:val="2"/>
            <w:shd w:val="clear" w:color="auto" w:fill="F3F3F3"/>
            <w:noWrap w:val="0"/>
            <w:vAlign w:val="center"/>
          </w:tcPr>
          <w:p>
            <w:pPr>
              <w:spacing w:line="360" w:lineRule="auto"/>
              <w:ind w:firstLine="420" w:firstLineChars="200"/>
              <w:jc w:val="center"/>
              <w:rPr>
                <w:sz w:val="21"/>
                <w:szCs w:val="21"/>
              </w:rPr>
            </w:pPr>
            <w:r>
              <w:rPr>
                <w:sz w:val="21"/>
                <w:szCs w:val="21"/>
              </w:rPr>
              <w:t>最大间距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3356" w:type="dxa"/>
            <w:vMerge w:val="continue"/>
            <w:shd w:val="clear" w:color="auto" w:fill="auto"/>
            <w:noWrap w:val="0"/>
            <w:vAlign w:val="center"/>
          </w:tcPr>
          <w:p>
            <w:pPr>
              <w:spacing w:line="360" w:lineRule="auto"/>
              <w:ind w:firstLine="420" w:firstLineChars="200"/>
              <w:rPr>
                <w:sz w:val="21"/>
                <w:szCs w:val="21"/>
              </w:rPr>
            </w:pPr>
          </w:p>
        </w:tc>
        <w:tc>
          <w:tcPr>
            <w:tcW w:w="2120" w:type="dxa"/>
            <w:shd w:val="clear" w:color="auto" w:fill="F3F3F3"/>
            <w:noWrap w:val="0"/>
            <w:vAlign w:val="center"/>
          </w:tcPr>
          <w:p>
            <w:pPr>
              <w:spacing w:line="360" w:lineRule="auto"/>
              <w:ind w:firstLine="420" w:firstLineChars="200"/>
              <w:rPr>
                <w:sz w:val="21"/>
                <w:szCs w:val="21"/>
              </w:rPr>
            </w:pPr>
            <w:r>
              <w:rPr>
                <w:sz w:val="21"/>
                <w:szCs w:val="21"/>
              </w:rPr>
              <w:t>污水管道</w:t>
            </w:r>
          </w:p>
        </w:tc>
        <w:tc>
          <w:tcPr>
            <w:tcW w:w="3373" w:type="dxa"/>
            <w:shd w:val="clear" w:color="auto" w:fill="F3F3F3"/>
            <w:noWrap w:val="0"/>
            <w:vAlign w:val="center"/>
          </w:tcPr>
          <w:p>
            <w:pPr>
              <w:spacing w:line="360" w:lineRule="auto"/>
              <w:ind w:firstLine="420" w:firstLineChars="200"/>
              <w:rPr>
                <w:sz w:val="21"/>
                <w:szCs w:val="21"/>
              </w:rPr>
            </w:pPr>
            <w:r>
              <w:rPr>
                <w:sz w:val="21"/>
                <w:szCs w:val="21"/>
              </w:rPr>
              <w:t>雨水（合流）管道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3356" w:type="dxa"/>
            <w:noWrap w:val="0"/>
            <w:vAlign w:val="center"/>
          </w:tcPr>
          <w:p>
            <w:pPr>
              <w:spacing w:line="360" w:lineRule="auto"/>
              <w:ind w:firstLine="420" w:firstLineChars="200"/>
              <w:rPr>
                <w:sz w:val="21"/>
                <w:szCs w:val="21"/>
              </w:rPr>
            </w:pPr>
            <w:r>
              <w:rPr>
                <w:sz w:val="21"/>
                <w:szCs w:val="21"/>
              </w:rPr>
              <w:t>200～400</w:t>
            </w:r>
          </w:p>
        </w:tc>
        <w:tc>
          <w:tcPr>
            <w:tcW w:w="2120" w:type="dxa"/>
            <w:noWrap w:val="0"/>
            <w:vAlign w:val="center"/>
          </w:tcPr>
          <w:p>
            <w:pPr>
              <w:spacing w:line="360" w:lineRule="auto"/>
              <w:ind w:firstLine="420" w:firstLineChars="200"/>
              <w:rPr>
                <w:sz w:val="21"/>
                <w:szCs w:val="21"/>
              </w:rPr>
            </w:pPr>
            <w:r>
              <w:rPr>
                <w:sz w:val="21"/>
                <w:szCs w:val="21"/>
              </w:rPr>
              <w:t>40</w:t>
            </w:r>
          </w:p>
        </w:tc>
        <w:tc>
          <w:tcPr>
            <w:tcW w:w="3373" w:type="dxa"/>
            <w:noWrap w:val="0"/>
            <w:vAlign w:val="center"/>
          </w:tcPr>
          <w:p>
            <w:pPr>
              <w:spacing w:line="360" w:lineRule="auto"/>
              <w:ind w:firstLine="420" w:firstLineChars="200"/>
              <w:rPr>
                <w:sz w:val="21"/>
                <w:szCs w:val="21"/>
              </w:rPr>
            </w:pPr>
            <w:r>
              <w:rPr>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500～700</w:t>
            </w:r>
          </w:p>
        </w:tc>
        <w:tc>
          <w:tcPr>
            <w:tcW w:w="2120" w:type="dxa"/>
            <w:noWrap w:val="0"/>
            <w:vAlign w:val="center"/>
          </w:tcPr>
          <w:p>
            <w:pPr>
              <w:spacing w:line="360" w:lineRule="auto"/>
              <w:ind w:firstLine="420" w:firstLineChars="200"/>
              <w:rPr>
                <w:sz w:val="21"/>
                <w:szCs w:val="21"/>
              </w:rPr>
            </w:pPr>
            <w:r>
              <w:rPr>
                <w:sz w:val="21"/>
                <w:szCs w:val="21"/>
              </w:rPr>
              <w:t>60</w:t>
            </w:r>
          </w:p>
        </w:tc>
        <w:tc>
          <w:tcPr>
            <w:tcW w:w="3373" w:type="dxa"/>
            <w:noWrap w:val="0"/>
            <w:vAlign w:val="center"/>
          </w:tcPr>
          <w:p>
            <w:pPr>
              <w:spacing w:line="360" w:lineRule="auto"/>
              <w:ind w:firstLine="420" w:firstLineChars="200"/>
              <w:rPr>
                <w:sz w:val="21"/>
                <w:szCs w:val="21"/>
              </w:rPr>
            </w:pPr>
            <w:r>
              <w:rPr>
                <w:sz w:val="21"/>
                <w:szCs w:val="21"/>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800～1000</w:t>
            </w:r>
          </w:p>
        </w:tc>
        <w:tc>
          <w:tcPr>
            <w:tcW w:w="2120" w:type="dxa"/>
            <w:noWrap w:val="0"/>
            <w:vAlign w:val="center"/>
          </w:tcPr>
          <w:p>
            <w:pPr>
              <w:spacing w:line="360" w:lineRule="auto"/>
              <w:ind w:firstLine="420" w:firstLineChars="200"/>
              <w:rPr>
                <w:sz w:val="21"/>
                <w:szCs w:val="21"/>
              </w:rPr>
            </w:pPr>
            <w:r>
              <w:rPr>
                <w:sz w:val="21"/>
                <w:szCs w:val="21"/>
              </w:rPr>
              <w:t>80</w:t>
            </w:r>
          </w:p>
        </w:tc>
        <w:tc>
          <w:tcPr>
            <w:tcW w:w="3373" w:type="dxa"/>
            <w:noWrap w:val="0"/>
            <w:vAlign w:val="center"/>
          </w:tcPr>
          <w:p>
            <w:pPr>
              <w:spacing w:line="360" w:lineRule="auto"/>
              <w:ind w:firstLine="420" w:firstLineChars="200"/>
              <w:rPr>
                <w:sz w:val="21"/>
                <w:szCs w:val="21"/>
              </w:rPr>
            </w:pPr>
            <w:r>
              <w:rPr>
                <w:sz w:val="21"/>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1100～1500</w:t>
            </w:r>
          </w:p>
        </w:tc>
        <w:tc>
          <w:tcPr>
            <w:tcW w:w="2120" w:type="dxa"/>
            <w:noWrap w:val="0"/>
            <w:vAlign w:val="center"/>
          </w:tcPr>
          <w:p>
            <w:pPr>
              <w:spacing w:line="360" w:lineRule="auto"/>
              <w:ind w:firstLine="420" w:firstLineChars="200"/>
              <w:rPr>
                <w:sz w:val="21"/>
                <w:szCs w:val="21"/>
              </w:rPr>
            </w:pPr>
            <w:r>
              <w:rPr>
                <w:sz w:val="21"/>
                <w:szCs w:val="21"/>
              </w:rPr>
              <w:t>100</w:t>
            </w:r>
          </w:p>
        </w:tc>
        <w:tc>
          <w:tcPr>
            <w:tcW w:w="3373" w:type="dxa"/>
            <w:noWrap w:val="0"/>
            <w:vAlign w:val="center"/>
          </w:tcPr>
          <w:p>
            <w:pPr>
              <w:spacing w:line="360" w:lineRule="auto"/>
              <w:ind w:firstLine="420" w:firstLineChars="200"/>
              <w:rPr>
                <w:sz w:val="21"/>
                <w:szCs w:val="21"/>
              </w:rPr>
            </w:pPr>
            <w:r>
              <w:rPr>
                <w:sz w:val="21"/>
                <w:szCs w:val="21"/>
              </w:rPr>
              <w:t>120</w:t>
            </w:r>
          </w:p>
        </w:tc>
      </w:tr>
    </w:tbl>
    <w:p>
      <w:pPr>
        <w:spacing w:line="360" w:lineRule="auto"/>
        <w:ind w:firstLine="420" w:firstLineChars="200"/>
        <w:rPr>
          <w:sz w:val="21"/>
          <w:szCs w:val="21"/>
        </w:rPr>
      </w:pPr>
      <w:r>
        <w:rPr>
          <w:sz w:val="21"/>
          <w:szCs w:val="21"/>
        </w:rPr>
        <w:t>2）污水检查井均采用钢筋砼检查井，采用成品井，按国家标准图集06MS201选型。检查井基础厚度不小于20cm，采用C15砼，</w:t>
      </w:r>
      <w:r>
        <w:rPr>
          <w:b/>
          <w:sz w:val="21"/>
          <w:szCs w:val="21"/>
        </w:rPr>
        <w:t>图集上井墙及底板混凝土强度为C30，HPB235钢筋变为HRB300,HRB300钢筋变为HRB400</w:t>
      </w:r>
      <w:r>
        <w:rPr>
          <w:sz w:val="21"/>
          <w:szCs w:val="21"/>
        </w:rPr>
        <w:t>。井周</w:t>
      </w:r>
      <w:r>
        <w:rPr>
          <w:rFonts w:hint="eastAsia"/>
          <w:sz w:val="21"/>
          <w:szCs w:val="21"/>
        </w:rPr>
        <w:t>80</w:t>
      </w:r>
      <w:r>
        <w:rPr>
          <w:sz w:val="21"/>
          <w:szCs w:val="21"/>
        </w:rPr>
        <w:t>cm范围内采用5%水稳加强，自井底至井顶。</w:t>
      </w:r>
    </w:p>
    <w:p>
      <w:pPr>
        <w:spacing w:line="360" w:lineRule="auto"/>
        <w:ind w:firstLine="420" w:firstLineChars="200"/>
        <w:rPr>
          <w:rFonts w:hint="eastAsia"/>
          <w:sz w:val="21"/>
          <w:szCs w:val="21"/>
        </w:rPr>
      </w:pPr>
      <w:r>
        <w:rPr>
          <w:rFonts w:hint="eastAsia"/>
          <w:sz w:val="21"/>
          <w:szCs w:val="21"/>
        </w:rPr>
        <w:t>3）本次设计检查井位于道路边线外侧1米位置，检查井井室周围的回填，应与管道沟槽的回填同时进行；当不便同时进行时，应留台阶形接茬；井室周围回填压实时应沿井室中心对称进行；回填材料压实后应与井壁紧贴。</w:t>
      </w:r>
    </w:p>
    <w:p>
      <w:pPr>
        <w:spacing w:line="360" w:lineRule="auto"/>
        <w:ind w:firstLine="420" w:firstLineChars="200"/>
        <w:rPr>
          <w:rFonts w:hint="eastAsia"/>
          <w:sz w:val="21"/>
          <w:szCs w:val="21"/>
        </w:rPr>
      </w:pPr>
      <w:r>
        <w:rPr>
          <w:rFonts w:hint="eastAsia"/>
          <w:sz w:val="21"/>
          <w:szCs w:val="21"/>
        </w:rPr>
        <w:t>4）检查井一律按有地下水情况处理。井盖面应分别有“雨”、“污”标志，施工时不得错盖。</w:t>
      </w:r>
    </w:p>
    <w:p>
      <w:pPr>
        <w:spacing w:line="360" w:lineRule="auto"/>
        <w:ind w:firstLine="420" w:firstLineChars="200"/>
        <w:rPr>
          <w:rFonts w:hint="eastAsia"/>
          <w:sz w:val="21"/>
          <w:szCs w:val="21"/>
        </w:rPr>
      </w:pPr>
      <w:r>
        <w:rPr>
          <w:rFonts w:hint="eastAsia"/>
          <w:sz w:val="21"/>
          <w:szCs w:val="21"/>
        </w:rPr>
        <w:t>5）井盖面应与路面齐平，位于绿化带排水检查井井顶应高出地面15cm。</w:t>
      </w:r>
    </w:p>
    <w:p>
      <w:pPr>
        <w:spacing w:line="360" w:lineRule="auto"/>
        <w:ind w:firstLine="420" w:firstLineChars="200"/>
        <w:rPr>
          <w:rFonts w:hint="eastAsia"/>
          <w:sz w:val="21"/>
          <w:szCs w:val="21"/>
        </w:rPr>
      </w:pPr>
      <w:r>
        <w:rPr>
          <w:rFonts w:hint="eastAsia"/>
          <w:sz w:val="21"/>
          <w:szCs w:val="21"/>
        </w:rPr>
        <w:t>6）检查井井盖选用原则：绿化带、人行道等禁止机动车驶入的区域，选用A15级；人行道、非机动车道、小车停车场及地下停车场，选用B125级；住宅小区、背街小巷、仅有轻型机动车或小型式的区域，道路两边路缘石开始0.5m以内，选用C250级；城市主路、公路、高等级公路、高速公路等区域，选用D400级。,详见国标《检查井盖（GB/T23858-2009）》。</w:t>
      </w:r>
    </w:p>
    <w:p>
      <w:pPr>
        <w:spacing w:line="360" w:lineRule="auto"/>
        <w:ind w:firstLine="420" w:firstLineChars="200"/>
        <w:rPr>
          <w:rFonts w:hint="eastAsia"/>
          <w:sz w:val="21"/>
          <w:szCs w:val="21"/>
        </w:rPr>
      </w:pPr>
      <w:r>
        <w:rPr>
          <w:rFonts w:hint="eastAsia"/>
          <w:sz w:val="21"/>
          <w:szCs w:val="21"/>
        </w:rPr>
        <w:t>应采用合格的铸铁、聚合物基复合材料或钢纤维混凝土的检查井支座和井盖，支座和井盖应有防盗、防坠落、防位移、防噪声和易开启装置，并符合相关的技术标准和设计规范。检查井井盖在满足功能的前提下，尽可能采用规范允许范围内的最小井盖。凡采用手孔井可以达到检修等目的的，不得采用人孔井。本次设计检查井盖采用新型球墨铸铁井盖。</w:t>
      </w:r>
    </w:p>
    <w:p>
      <w:pPr>
        <w:spacing w:line="360" w:lineRule="auto"/>
        <w:ind w:firstLine="420" w:firstLineChars="200"/>
        <w:rPr>
          <w:rFonts w:hint="eastAsia"/>
          <w:sz w:val="21"/>
          <w:szCs w:val="21"/>
        </w:rPr>
      </w:pPr>
      <w:r>
        <w:rPr>
          <w:rFonts w:hint="eastAsia"/>
          <w:sz w:val="21"/>
          <w:szCs w:val="21"/>
        </w:rPr>
        <w:t>7）井盖应符合《检查井盖GB/T23858-2009》的要求。</w:t>
      </w:r>
    </w:p>
    <w:p>
      <w:pPr>
        <w:spacing w:line="360" w:lineRule="auto"/>
        <w:ind w:firstLine="420" w:firstLineChars="200"/>
        <w:rPr>
          <w:rFonts w:hint="eastAsia"/>
          <w:sz w:val="21"/>
          <w:szCs w:val="21"/>
        </w:rPr>
      </w:pPr>
      <w:r>
        <w:rPr>
          <w:rFonts w:hint="eastAsia"/>
          <w:sz w:val="21"/>
          <w:szCs w:val="21"/>
        </w:rPr>
        <w:t>8）检查井须安装防坠网。挂钩采用膨胀螺栓挂钩，安装于井筒内壁上，高度距路面20cm。防坠网承重不低于1000kg，网目不大于10cm。</w:t>
      </w:r>
    </w:p>
    <w:p>
      <w:pPr>
        <w:spacing w:line="360" w:lineRule="auto"/>
        <w:ind w:firstLine="421" w:firstLineChars="200"/>
        <w:jc w:val="left"/>
        <w:rPr>
          <w:b/>
          <w:sz w:val="21"/>
          <w:szCs w:val="21"/>
        </w:rPr>
      </w:pPr>
      <w:r>
        <w:rPr>
          <w:b/>
          <w:sz w:val="21"/>
          <w:szCs w:val="21"/>
        </w:rPr>
        <w:t xml:space="preserve"> (2)跌水井</w:t>
      </w:r>
    </w:p>
    <w:p>
      <w:pPr>
        <w:spacing w:line="360" w:lineRule="auto"/>
        <w:ind w:firstLine="420" w:firstLineChars="200"/>
        <w:rPr>
          <w:sz w:val="21"/>
          <w:szCs w:val="21"/>
        </w:rPr>
      </w:pPr>
      <w:r>
        <w:rPr>
          <w:sz w:val="21"/>
          <w:szCs w:val="21"/>
        </w:rPr>
        <w:t>当井内有支管接入，管顶与管顶的落差h≥1.2m时应设竖槽式跌水井，具体做法见06MS201-3。当井内有支管接入，管顶与管顶的落差0.5≤h＜1.2m时可用C30混凝土垫层加固，厚20cm，以防冲刷。</w:t>
      </w:r>
    </w:p>
    <w:p>
      <w:pPr>
        <w:spacing w:before="156" w:beforeLines="50" w:line="360" w:lineRule="auto"/>
        <w:ind w:firstLine="421" w:firstLineChars="200"/>
        <w:outlineLvl w:val="0"/>
        <w:rPr>
          <w:rFonts w:ascii="Times New Roman" w:hAnsi="Times New Roman" w:eastAsia="仿宋"/>
          <w:color w:val="000000"/>
          <w:sz w:val="21"/>
          <w:szCs w:val="21"/>
        </w:rPr>
      </w:pPr>
      <w:r>
        <w:rPr>
          <w:rFonts w:hint="eastAsia"/>
          <w:b/>
          <w:sz w:val="21"/>
          <w:szCs w:val="21"/>
          <w:lang w:eastAsia="zh-CN"/>
        </w:rPr>
        <w:t>十</w:t>
      </w:r>
      <w:r>
        <w:rPr>
          <w:rFonts w:hint="eastAsia"/>
          <w:b/>
          <w:sz w:val="21"/>
          <w:szCs w:val="21"/>
        </w:rPr>
        <w:t>、管道抗震设计</w:t>
      </w:r>
    </w:p>
    <w:p>
      <w:pPr>
        <w:spacing w:line="360" w:lineRule="auto"/>
        <w:ind w:firstLine="420" w:firstLineChars="200"/>
        <w:rPr>
          <w:rFonts w:hint="eastAsia"/>
          <w:sz w:val="21"/>
          <w:szCs w:val="21"/>
        </w:rPr>
      </w:pPr>
      <w:r>
        <w:rPr>
          <w:rFonts w:hint="eastAsia"/>
          <w:sz w:val="21"/>
          <w:szCs w:val="21"/>
        </w:rPr>
        <w:t>1、当地基受力层范围内存在液化土或软弱土层时，应采取措施防止地基承载力失效、震陷和不均匀沉降导致构筑物或管网结构损坏；</w:t>
      </w:r>
    </w:p>
    <w:p>
      <w:pPr>
        <w:spacing w:line="360" w:lineRule="auto"/>
        <w:ind w:firstLine="420" w:firstLineChars="200"/>
        <w:rPr>
          <w:rFonts w:hint="eastAsia"/>
          <w:sz w:val="21"/>
          <w:szCs w:val="21"/>
        </w:rPr>
      </w:pPr>
      <w:r>
        <w:rPr>
          <w:rFonts w:hint="eastAsia"/>
          <w:sz w:val="21"/>
          <w:szCs w:val="21"/>
        </w:rPr>
        <w:t>2、同一结构单元的构筑物不宜设置在性质截然不同的地基土上，当不可避免时应采取有效措施避免震陷导致结构损害，可加设垫褥等方法；</w:t>
      </w:r>
    </w:p>
    <w:p>
      <w:pPr>
        <w:spacing w:line="360" w:lineRule="auto"/>
        <w:ind w:firstLine="420" w:firstLineChars="200"/>
        <w:rPr>
          <w:rFonts w:hint="eastAsia"/>
          <w:sz w:val="21"/>
          <w:szCs w:val="21"/>
        </w:rPr>
      </w:pPr>
      <w:r>
        <w:rPr>
          <w:rFonts w:hint="eastAsia"/>
          <w:sz w:val="21"/>
          <w:szCs w:val="21"/>
        </w:rPr>
        <w:t>3、当构筑物基底受力层内存在液化、软弱黏性 或严重不均匀土层时，虽经地基处理，仍应采取措施加强基础的整体性和刚度；</w:t>
      </w:r>
    </w:p>
    <w:p>
      <w:pPr>
        <w:spacing w:line="360" w:lineRule="auto"/>
        <w:ind w:firstLine="420" w:firstLineChars="200"/>
        <w:rPr>
          <w:rFonts w:hint="eastAsia"/>
          <w:sz w:val="21"/>
          <w:szCs w:val="21"/>
        </w:rPr>
      </w:pPr>
      <w:r>
        <w:rPr>
          <w:rFonts w:hint="eastAsia"/>
          <w:sz w:val="21"/>
          <w:szCs w:val="21"/>
        </w:rPr>
        <w:t>4、给排水管道应选用柔性接口；</w:t>
      </w:r>
    </w:p>
    <w:p>
      <w:pPr>
        <w:spacing w:line="360" w:lineRule="auto"/>
        <w:ind w:firstLine="420" w:firstLineChars="200"/>
        <w:rPr>
          <w:rFonts w:hint="eastAsia"/>
          <w:sz w:val="21"/>
          <w:szCs w:val="21"/>
        </w:rPr>
      </w:pPr>
      <w:r>
        <w:rPr>
          <w:rFonts w:hint="eastAsia"/>
          <w:sz w:val="21"/>
          <w:szCs w:val="21"/>
        </w:rPr>
        <w:t xml:space="preserve">5、管道与构筑物、设备的连接处，应配置柔性构造措施； </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十一</w:t>
      </w:r>
      <w:r>
        <w:rPr>
          <w:rFonts w:hint="eastAsia"/>
          <w:b/>
          <w:sz w:val="21"/>
          <w:szCs w:val="21"/>
        </w:rPr>
        <w:t>、管道施工排水</w:t>
      </w:r>
    </w:p>
    <w:p>
      <w:pPr>
        <w:spacing w:line="360" w:lineRule="auto"/>
        <w:ind w:firstLine="420" w:firstLineChars="200"/>
        <w:rPr>
          <w:rFonts w:hint="eastAsia"/>
          <w:sz w:val="21"/>
          <w:szCs w:val="21"/>
        </w:rPr>
      </w:pPr>
      <w:r>
        <w:rPr>
          <w:rFonts w:hint="eastAsia"/>
          <w:sz w:val="21"/>
          <w:szCs w:val="21"/>
        </w:rPr>
        <w:t>当管线埋设较深、超过地下孔隙潜水时，应考虑必要的降水措施和坑壁支护措施。</w:t>
      </w:r>
    </w:p>
    <w:p>
      <w:pPr>
        <w:spacing w:line="360" w:lineRule="auto"/>
        <w:ind w:firstLine="420" w:firstLineChars="200"/>
        <w:rPr>
          <w:rFonts w:hint="eastAsia"/>
          <w:sz w:val="21"/>
          <w:szCs w:val="21"/>
        </w:rPr>
      </w:pPr>
      <w:r>
        <w:rPr>
          <w:rFonts w:hint="eastAsia"/>
          <w:sz w:val="21"/>
          <w:szCs w:val="21"/>
        </w:rPr>
        <w:t>沟槽排水的方法可以分为两类，明排水法和人工降低地下水位法。</w:t>
      </w:r>
    </w:p>
    <w:p>
      <w:pPr>
        <w:spacing w:line="360" w:lineRule="auto"/>
        <w:ind w:firstLine="420" w:firstLineChars="200"/>
        <w:rPr>
          <w:rFonts w:hint="eastAsia"/>
          <w:sz w:val="21"/>
          <w:szCs w:val="21"/>
        </w:rPr>
      </w:pPr>
      <w:r>
        <w:rPr>
          <w:rFonts w:hint="eastAsia"/>
          <w:sz w:val="21"/>
          <w:szCs w:val="21"/>
        </w:rPr>
        <w:t>明排水法是在沟槽底面管道位置的一侧或两侧挖排水沟，再在沟槽以外挖一坑，深度为2倍潜水泵长度。地下水的沟槽边坡和底面流出后，经排水沟流至坑内，然后用潜水泵将水排掉。这种方法一般用在沟槽底面地下水稍多的情况。如果地下水稍小，可以利用管道对接的工作坑，将其深挖100～200mm或在管道侧面挖一个坑，渗出的地下水直接汇人坑中，待到坑中有了一定水后，用潜水泵抽走。</w:t>
      </w:r>
    </w:p>
    <w:p>
      <w:pPr>
        <w:spacing w:line="360" w:lineRule="auto"/>
        <w:ind w:firstLine="420" w:firstLineChars="200"/>
        <w:rPr>
          <w:rFonts w:hint="eastAsia"/>
          <w:sz w:val="21"/>
          <w:szCs w:val="21"/>
        </w:rPr>
      </w:pPr>
      <w:r>
        <w:rPr>
          <w:rFonts w:hint="eastAsia"/>
          <w:sz w:val="21"/>
          <w:szCs w:val="21"/>
        </w:rPr>
        <w:t>人工降低地下水位法，是在沟槽开挖前，事先在沟槽的一侧或两侧，往地下竖直打入一定数量的排水滤管，地下水渗入滤管，利用抽水设备将滤管中的水不断抽出，使地下水位降到沟槽底面以下。</w:t>
      </w:r>
    </w:p>
    <w:p>
      <w:pPr>
        <w:spacing w:line="360" w:lineRule="auto"/>
        <w:ind w:firstLine="420" w:firstLineChars="200"/>
        <w:rPr>
          <w:rFonts w:hint="eastAsia"/>
          <w:sz w:val="21"/>
          <w:szCs w:val="21"/>
        </w:rPr>
      </w:pPr>
      <w:r>
        <w:rPr>
          <w:rFonts w:hint="eastAsia"/>
          <w:sz w:val="21"/>
          <w:szCs w:val="21"/>
        </w:rPr>
        <w:t>人工降低地下水位法又可分为轻型井点法和管井法。</w:t>
      </w:r>
    </w:p>
    <w:p>
      <w:pPr>
        <w:spacing w:line="360" w:lineRule="auto"/>
        <w:ind w:firstLine="420" w:firstLineChars="200"/>
        <w:rPr>
          <w:rFonts w:hint="eastAsia"/>
          <w:sz w:val="21"/>
          <w:szCs w:val="21"/>
        </w:rPr>
      </w:pPr>
      <w:r>
        <w:rPr>
          <w:rFonts w:hint="eastAsia"/>
          <w:sz w:val="21"/>
          <w:szCs w:val="21"/>
        </w:rPr>
        <w:t>轻型井点法是沿沟槽的一侧或两侧，将一定数量较细(+50mm)的井点滤管间隔o．75～4m竖直打入透水层内，用弯管将各个滤管上端相连后，再与抽水总管(≠150mm)连接在一起，用抽水设备将水抽出，使沟槽内水位下降。</w:t>
      </w:r>
    </w:p>
    <w:p>
      <w:pPr>
        <w:spacing w:line="360" w:lineRule="auto"/>
        <w:ind w:firstLine="420" w:firstLineChars="200"/>
        <w:rPr>
          <w:rFonts w:hint="eastAsia"/>
          <w:sz w:val="21"/>
          <w:szCs w:val="21"/>
        </w:rPr>
      </w:pPr>
      <w:r>
        <w:rPr>
          <w:rFonts w:hint="eastAsia"/>
          <w:sz w:val="21"/>
          <w:szCs w:val="21"/>
        </w:rPr>
        <w:t>管井法是用直径较大（一般为300—500mm）的铸铁管或钢管的滤管，沿沟槽一侧间隔10—50m埋入蓄水层内，地下水渗入滤管达一定液位后，再分别设泵抽出。</w:t>
      </w:r>
    </w:p>
    <w:p>
      <w:pPr>
        <w:spacing w:line="360" w:lineRule="auto"/>
        <w:ind w:firstLine="420" w:firstLineChars="200"/>
        <w:rPr>
          <w:rFonts w:hint="eastAsia"/>
          <w:sz w:val="21"/>
          <w:szCs w:val="21"/>
        </w:rPr>
      </w:pPr>
      <w:r>
        <w:rPr>
          <w:rFonts w:hint="eastAsia"/>
          <w:sz w:val="21"/>
          <w:szCs w:val="21"/>
        </w:rPr>
        <w:t xml:space="preserve"> 本次工程选取排水方法，应根据施工项目现场情况来确定。</w:t>
      </w:r>
    </w:p>
    <w:p>
      <w:pPr>
        <w:spacing w:line="360" w:lineRule="auto"/>
        <w:ind w:firstLine="421" w:firstLineChars="200"/>
        <w:rPr>
          <w:b/>
          <w:sz w:val="21"/>
          <w:szCs w:val="21"/>
        </w:rPr>
      </w:pPr>
      <w:r>
        <w:rPr>
          <w:rFonts w:hint="eastAsia"/>
          <w:b/>
          <w:sz w:val="21"/>
          <w:szCs w:val="21"/>
          <w:lang w:eastAsia="zh-CN"/>
        </w:rPr>
        <w:t>十二</w:t>
      </w:r>
      <w:r>
        <w:rPr>
          <w:b/>
          <w:sz w:val="21"/>
          <w:szCs w:val="21"/>
        </w:rPr>
        <w:t>、管道施工</w:t>
      </w:r>
    </w:p>
    <w:p>
      <w:pPr>
        <w:spacing w:line="360" w:lineRule="auto"/>
        <w:ind w:firstLine="420" w:firstLineChars="200"/>
        <w:rPr>
          <w:sz w:val="21"/>
          <w:szCs w:val="21"/>
        </w:rPr>
      </w:pPr>
      <w:r>
        <w:rPr>
          <w:sz w:val="21"/>
          <w:szCs w:val="21"/>
        </w:rPr>
        <w:t>1）施工放线</w:t>
      </w:r>
    </w:p>
    <w:p>
      <w:pPr>
        <w:spacing w:line="360" w:lineRule="auto"/>
        <w:ind w:firstLine="420" w:firstLineChars="200"/>
        <w:rPr>
          <w:rFonts w:ascii="Times New Roman" w:hAnsi="Times New Roman" w:eastAsia="仿宋"/>
          <w:color w:val="000000"/>
          <w:sz w:val="21"/>
          <w:szCs w:val="21"/>
        </w:rPr>
      </w:pPr>
      <w:r>
        <w:rPr>
          <w:sz w:val="21"/>
          <w:szCs w:val="21"/>
        </w:rPr>
        <w:t>施工放线严格按施工图坐标放线，施工中如需变更，需及时与设计方联系。</w:t>
      </w:r>
    </w:p>
    <w:p>
      <w:pPr>
        <w:spacing w:line="360" w:lineRule="auto"/>
        <w:ind w:firstLine="420" w:firstLineChars="200"/>
        <w:rPr>
          <w:sz w:val="21"/>
          <w:szCs w:val="21"/>
        </w:rPr>
      </w:pPr>
      <w:r>
        <w:rPr>
          <w:sz w:val="21"/>
          <w:szCs w:val="21"/>
        </w:rPr>
        <w:t>2）沟槽开挖与回填</w:t>
      </w:r>
    </w:p>
    <w:p>
      <w:pPr>
        <w:spacing w:line="360" w:lineRule="auto"/>
        <w:ind w:firstLine="420" w:firstLineChars="200"/>
        <w:rPr>
          <w:sz w:val="21"/>
          <w:szCs w:val="21"/>
        </w:rPr>
      </w:pPr>
      <w:r>
        <w:rPr>
          <w:sz w:val="21"/>
          <w:szCs w:val="21"/>
        </w:rPr>
        <w:t>管道地基应为未扰动的原状土或经处理后回填密实的地基，Ⅱ级管材要求地基承载力特征值不小于0.1MPa，Ⅲ级管材要求地基承载力特征值不小于0.2MPa。</w:t>
      </w:r>
    </w:p>
    <w:p>
      <w:pPr>
        <w:spacing w:line="360" w:lineRule="auto"/>
        <w:ind w:firstLine="420" w:firstLineChars="200"/>
        <w:rPr>
          <w:sz w:val="21"/>
          <w:szCs w:val="21"/>
        </w:rPr>
      </w:pPr>
      <w:r>
        <w:rPr>
          <w:sz w:val="21"/>
          <w:szCs w:val="21"/>
        </w:rPr>
        <w:t>当管道埋深大于5m时，沟槽开挖须采用二次开挖方式，层间留宽度为2.0m。</w:t>
      </w:r>
    </w:p>
    <w:p>
      <w:pPr>
        <w:spacing w:line="360" w:lineRule="auto"/>
        <w:ind w:firstLine="420" w:firstLineChars="200"/>
        <w:rPr>
          <w:sz w:val="21"/>
          <w:szCs w:val="21"/>
        </w:rPr>
      </w:pPr>
      <w:r>
        <w:rPr>
          <w:sz w:val="21"/>
          <w:szCs w:val="21"/>
        </w:rPr>
        <w:t>沟槽开挖边坡系数n值按地勘单位提供的建议1:1.25采用，如果采用直壁开挖必须进行有效支护以保施工安全。沟槽开挖要求不扰动天然地基，当土方采用机械开挖时，应保留0.2m土用人工清槽，并不得超挖，如有超挖应进行地基处理即采用砾石、卵石作填料，分层夯实(最大粒径≤40mm)或压实(最大粒径≤200mm)至设计管底标高，要求压实度不小于95％；管基开挖如遇表土层、软塑粘土、软塑亚粘土，应全部清除软弱层，回填砾卵石并分层夯实至设计管底标高下100～150mm，要求压实度不小于95％。</w:t>
      </w:r>
    </w:p>
    <w:p>
      <w:pPr>
        <w:spacing w:line="360" w:lineRule="auto"/>
        <w:ind w:firstLine="420" w:firstLineChars="200"/>
        <w:rPr>
          <w:sz w:val="21"/>
          <w:szCs w:val="21"/>
        </w:rPr>
      </w:pPr>
      <w:r>
        <w:rPr>
          <w:sz w:val="21"/>
          <w:szCs w:val="21"/>
        </w:rPr>
        <w:t>沟槽回填土的密实度要求不低于下列数值：</w:t>
      </w:r>
    </w:p>
    <w:p>
      <w:pPr>
        <w:spacing w:line="360" w:lineRule="auto"/>
        <w:ind w:firstLine="420" w:firstLineChars="200"/>
        <w:rPr>
          <w:sz w:val="21"/>
          <w:szCs w:val="21"/>
        </w:rPr>
      </w:pPr>
      <w:r>
        <w:rPr>
          <w:sz w:val="21"/>
          <w:szCs w:val="21"/>
        </w:rPr>
        <w:t>（1）胸膛土（Ⅰ区）95%（轻型击实标准）；</w:t>
      </w:r>
    </w:p>
    <w:p>
      <w:pPr>
        <w:spacing w:line="360" w:lineRule="auto"/>
        <w:ind w:firstLine="420" w:firstLineChars="200"/>
        <w:rPr>
          <w:sz w:val="21"/>
          <w:szCs w:val="21"/>
        </w:rPr>
      </w:pPr>
      <w:r>
        <w:rPr>
          <w:sz w:val="21"/>
          <w:szCs w:val="21"/>
        </w:rPr>
        <w:t>（2）管顶以上500mm范围内（Ⅱ区）85%（轻型击实标准）；</w:t>
      </w:r>
    </w:p>
    <w:p>
      <w:pPr>
        <w:spacing w:line="360" w:lineRule="auto"/>
        <w:ind w:firstLine="420" w:firstLineChars="200"/>
        <w:rPr>
          <w:sz w:val="21"/>
          <w:szCs w:val="21"/>
        </w:rPr>
      </w:pPr>
      <w:r>
        <w:rPr>
          <w:sz w:val="21"/>
          <w:szCs w:val="21"/>
        </w:rPr>
        <w:t>（3）管顶以上</w:t>
      </w:r>
      <w:r>
        <w:rPr>
          <w:rFonts w:hint="eastAsia"/>
          <w:sz w:val="21"/>
          <w:szCs w:val="21"/>
          <w:lang w:val="en-US" w:eastAsia="zh-CN"/>
        </w:rPr>
        <w:t>5</w:t>
      </w:r>
      <w:r>
        <w:rPr>
          <w:sz w:val="21"/>
          <w:szCs w:val="21"/>
        </w:rPr>
        <w:t>00至路基（Ⅲ区）按道路路基要求。</w:t>
      </w:r>
    </w:p>
    <w:p>
      <w:pPr>
        <w:spacing w:line="360" w:lineRule="auto"/>
        <w:ind w:firstLine="420" w:firstLineChars="200"/>
        <w:rPr>
          <w:sz w:val="21"/>
          <w:szCs w:val="21"/>
        </w:rPr>
      </w:pPr>
      <w:r>
        <w:rPr>
          <w:sz w:val="21"/>
          <w:szCs w:val="21"/>
        </w:rPr>
        <w:t>（4）（土路床下0.6m）--回填土压实系数≥0.95（土路床下0.6～1.5m）--回填土压实系数≥0.90；</w:t>
      </w:r>
    </w:p>
    <w:p>
      <w:pPr>
        <w:spacing w:line="360" w:lineRule="auto"/>
        <w:ind w:firstLine="420" w:firstLineChars="200"/>
        <w:rPr>
          <w:sz w:val="21"/>
          <w:szCs w:val="21"/>
        </w:rPr>
      </w:pPr>
      <w:r>
        <w:rPr>
          <w:sz w:val="21"/>
          <w:szCs w:val="21"/>
        </w:rPr>
        <w:t>Ⅰ、Ⅱ区应采用非膨胀土回填，宜采用中粗砂或粗粒土，Ⅲ、Ⅳ区按道路路基要求执行，严禁混入砖、瓦、石块及其他硬物。回填土应分层夯实，每层回填土厚度不大于300mm；回填土分层夯实时，不得损坏管道。</w:t>
      </w:r>
    </w:p>
    <w:p>
      <w:pPr>
        <w:spacing w:line="360" w:lineRule="auto"/>
        <w:ind w:firstLine="420" w:firstLineChars="200"/>
        <w:rPr>
          <w:sz w:val="21"/>
          <w:szCs w:val="21"/>
        </w:rPr>
      </w:pPr>
      <w:r>
        <w:rPr>
          <w:rFonts w:hint="eastAsia"/>
          <w:sz w:val="21"/>
          <w:szCs w:val="21"/>
        </w:rPr>
        <w:t>3</w:t>
      </w:r>
      <w:r>
        <w:rPr>
          <w:sz w:val="21"/>
          <w:szCs w:val="21"/>
        </w:rPr>
        <w:t xml:space="preserve">） 管道安装    </w:t>
      </w:r>
    </w:p>
    <w:p>
      <w:pPr>
        <w:spacing w:line="360" w:lineRule="auto"/>
        <w:ind w:firstLine="420" w:firstLineChars="200"/>
        <w:rPr>
          <w:sz w:val="21"/>
          <w:szCs w:val="21"/>
        </w:rPr>
      </w:pPr>
      <w:r>
        <w:rPr>
          <w:sz w:val="21"/>
          <w:szCs w:val="21"/>
        </w:rPr>
        <w:t>管节安装前应进行外观检查，发现裂缝、保护层脱落、空鼓、掉口、掉角等缺陷，使用前应修补并经鉴定合格后，方可使用。管节安装前还应将管内外清扫干净。安装时应使管内底标高符合设计规定，调整管节及标高时，必须垫稳，两侧设撑杠稳固，防止滚动。</w:t>
      </w:r>
    </w:p>
    <w:p>
      <w:pPr>
        <w:spacing w:line="360" w:lineRule="auto"/>
        <w:ind w:firstLine="420" w:firstLineChars="200"/>
        <w:rPr>
          <w:sz w:val="21"/>
          <w:szCs w:val="21"/>
        </w:rPr>
      </w:pPr>
      <w:r>
        <w:rPr>
          <w:sz w:val="21"/>
          <w:szCs w:val="21"/>
        </w:rPr>
        <w:t>橡胶圈要采用管道生产厂家配套的专用橡胶圈。橡胶圈使用前必须逐个检查，不得有割裂、破损、气泡、大飞边等缺陷。安装时，管道承口内工作面、插口外工作面应清洗干净；套在插口上的圆形橡胶圈应平直无扭曲。</w:t>
      </w:r>
    </w:p>
    <w:p>
      <w:pPr>
        <w:spacing w:before="156" w:beforeLines="50" w:line="360" w:lineRule="auto"/>
        <w:ind w:firstLine="421" w:firstLineChars="200"/>
        <w:outlineLvl w:val="0"/>
        <w:rPr>
          <w:rFonts w:ascii="Times New Roman" w:hAnsi="Times New Roman" w:eastAsia="仿宋"/>
          <w:color w:val="000000"/>
          <w:sz w:val="21"/>
          <w:szCs w:val="21"/>
        </w:rPr>
      </w:pPr>
      <w:r>
        <w:rPr>
          <w:b/>
          <w:sz w:val="21"/>
          <w:szCs w:val="21"/>
        </w:rPr>
        <w:t>十</w:t>
      </w:r>
      <w:r>
        <w:rPr>
          <w:rFonts w:hint="eastAsia"/>
          <w:b/>
          <w:sz w:val="21"/>
          <w:szCs w:val="21"/>
          <w:lang w:eastAsia="zh-CN"/>
        </w:rPr>
        <w:t>三</w:t>
      </w:r>
      <w:r>
        <w:rPr>
          <w:b/>
          <w:sz w:val="21"/>
          <w:szCs w:val="21"/>
        </w:rPr>
        <w:t>、施工验收标准</w:t>
      </w:r>
    </w:p>
    <w:p>
      <w:pPr>
        <w:spacing w:line="360" w:lineRule="auto"/>
        <w:ind w:firstLine="420" w:firstLineChars="200"/>
        <w:rPr>
          <w:kern w:val="0"/>
          <w:sz w:val="21"/>
          <w:szCs w:val="21"/>
        </w:rPr>
      </w:pPr>
      <w:r>
        <w:rPr>
          <w:kern w:val="0"/>
          <w:sz w:val="21"/>
          <w:szCs w:val="21"/>
        </w:rPr>
        <w:t>施工质量验收要求 ：</w:t>
      </w:r>
    </w:p>
    <w:p>
      <w:pPr>
        <w:spacing w:line="360" w:lineRule="auto"/>
        <w:ind w:firstLine="420" w:firstLineChars="200"/>
        <w:rPr>
          <w:kern w:val="0"/>
          <w:sz w:val="21"/>
          <w:szCs w:val="21"/>
        </w:rPr>
      </w:pPr>
      <w:r>
        <w:rPr>
          <w:kern w:val="0"/>
          <w:sz w:val="21"/>
          <w:szCs w:val="21"/>
        </w:rPr>
        <w:t>1）施工验收闭水试验按照《给水排水管道工程施工及验收规范》GB50268-2008 中"9.3 无压管道的闭水试验"执行。</w:t>
      </w:r>
    </w:p>
    <w:p>
      <w:pPr>
        <w:spacing w:line="360" w:lineRule="auto"/>
        <w:ind w:firstLine="420" w:firstLineChars="200"/>
        <w:rPr>
          <w:sz w:val="21"/>
          <w:szCs w:val="21"/>
        </w:rPr>
      </w:pPr>
      <w:r>
        <w:rPr>
          <w:kern w:val="0"/>
          <w:sz w:val="21"/>
          <w:szCs w:val="21"/>
        </w:rPr>
        <w:t>2）施工应严格照相关规范和验收标准进行，遇到特殊情况请及时与设计单位联系解决。施工验收执行《给水排水管道工程施工及验收规范》GB50268-2008以及</w:t>
      </w:r>
      <w:r>
        <w:rPr>
          <w:sz w:val="21"/>
          <w:szCs w:val="21"/>
        </w:rPr>
        <w:t>《砌体结构工程施工质量验收规范》</w:t>
      </w:r>
      <w:r>
        <w:rPr>
          <w:kern w:val="0"/>
          <w:sz w:val="21"/>
          <w:szCs w:val="21"/>
        </w:rPr>
        <w:t>GB50203-2011等。</w:t>
      </w:r>
      <w:r>
        <w:rPr>
          <w:sz w:val="21"/>
          <w:szCs w:val="21"/>
        </w:rPr>
        <w:t>本项目排水管道工程的施工及验收标准按照《给水排水构筑物工程施工及验收规范》（GB50141-2008）和《给水排水管道工程施工及验收规范》GB50268-2008)以及管道生产厂家提供的"安装说明书"中的有关规定执行。</w:t>
      </w:r>
    </w:p>
    <w:p>
      <w:pPr>
        <w:spacing w:before="156" w:beforeLines="50" w:line="360" w:lineRule="auto"/>
        <w:ind w:firstLine="421" w:firstLineChars="200"/>
        <w:outlineLvl w:val="0"/>
        <w:rPr>
          <w:b/>
          <w:sz w:val="21"/>
          <w:szCs w:val="21"/>
        </w:rPr>
      </w:pPr>
      <w:r>
        <w:rPr>
          <w:b/>
          <w:sz w:val="21"/>
          <w:szCs w:val="21"/>
        </w:rPr>
        <w:t>十四、排水管道维护</w:t>
      </w:r>
    </w:p>
    <w:p>
      <w:pPr>
        <w:spacing w:line="360" w:lineRule="auto"/>
        <w:rPr>
          <w:rFonts w:hint="eastAsia"/>
          <w:sz w:val="21"/>
          <w:szCs w:val="21"/>
          <w:lang w:val="en-US" w:eastAsia="zh-CN"/>
        </w:rPr>
      </w:pPr>
      <w:r>
        <w:rPr>
          <w:sz w:val="21"/>
          <w:szCs w:val="21"/>
        </w:rPr>
        <w:t>本项目排水管道及其附属构筑物的维护，按照国家行业标准《城镇排水管渠与泵站维护技术规程》（CJJ 68-2007）中第3章和第5章的相关规定</w:t>
      </w:r>
      <w:r>
        <w:rPr>
          <w:rFonts w:hint="eastAsia"/>
          <w:sz w:val="21"/>
          <w:szCs w:val="21"/>
          <w:lang w:val="en-US" w:eastAsia="zh-CN"/>
        </w:rPr>
        <w:t>执行。</w:t>
      </w:r>
    </w:p>
    <w:p>
      <w:pPr>
        <w:spacing w:line="600" w:lineRule="exact"/>
        <w:ind w:left="0" w:leftChars="0" w:firstLine="0" w:firstLineChars="0"/>
        <w:rPr>
          <w:rFonts w:hint="default"/>
          <w:sz w:val="21"/>
          <w:szCs w:val="21"/>
          <w:lang w:val="en-US" w:eastAsia="zh-CN"/>
        </w:rPr>
      </w:pPr>
      <w:r>
        <w:rPr>
          <w:rFonts w:hint="eastAsia"/>
          <w:sz w:val="21"/>
          <w:szCs w:val="21"/>
          <w:lang w:val="en-US" w:eastAsia="zh-CN"/>
        </w:rPr>
        <w:t>改建卫生间做法：根据用户原有房间砌筑180mm厚页岩砖隔墙，并预留800mmx2000mm门洞口。</w:t>
      </w:r>
    </w:p>
    <w:p>
      <w:pPr>
        <w:pStyle w:val="2"/>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27930" cy="5019675"/>
            <wp:effectExtent l="0" t="0" r="1270" b="9525"/>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r:embed="rId17"/>
                    <a:stretch>
                      <a:fillRect/>
                    </a:stretch>
                  </pic:blipFill>
                  <pic:spPr>
                    <a:xfrm>
                      <a:off x="0" y="0"/>
                      <a:ext cx="5027930" cy="501967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42865" cy="1476375"/>
            <wp:effectExtent l="0" t="0" r="635" b="9525"/>
            <wp:docPr id="2" name="图片 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true"/>
                    </pic:cNvPicPr>
                  </pic:nvPicPr>
                  <pic:blipFill>
                    <a:blip r:embed="rId18"/>
                    <a:stretch>
                      <a:fillRect/>
                    </a:stretch>
                  </pic:blipFill>
                  <pic:spPr>
                    <a:xfrm>
                      <a:off x="0" y="0"/>
                      <a:ext cx="5142865" cy="147637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eastAsia"/>
          <w:lang w:val="en-US" w:eastAsia="zh-CN"/>
        </w:rPr>
      </w:pPr>
      <w:r>
        <w:rPr>
          <w:rFonts w:hint="eastAsia"/>
          <w:lang w:val="en-US" w:eastAsia="zh-CN"/>
        </w:rPr>
        <w:t>原有粪池盖板做法:每户2块盖板，1块为活动盖板以方便用户清掏。</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85080" cy="2317115"/>
            <wp:effectExtent l="0" t="0" r="1270" b="6985"/>
            <wp:docPr id="12"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 name="图片 1" descr="IMG_256"/>
                    <pic:cNvPicPr>
                      <a:picLocks noChangeAspect="true"/>
                    </pic:cNvPicPr>
                  </pic:nvPicPr>
                  <pic:blipFill>
                    <a:blip r:embed="rId19"/>
                    <a:stretch>
                      <a:fillRect/>
                    </a:stretch>
                  </pic:blipFill>
                  <pic:spPr>
                    <a:xfrm>
                      <a:off x="0" y="0"/>
                      <a:ext cx="5085080" cy="231711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default" w:ascii="宋体" w:hAnsi="宋体" w:cs="宋体"/>
          <w:kern w:val="0"/>
          <w:sz w:val="24"/>
          <w:szCs w:val="24"/>
          <w:lang w:val="en-US" w:eastAsia="zh-CN" w:bidi="ar"/>
        </w:rPr>
      </w:pPr>
      <w:r>
        <w:rPr>
          <w:rFonts w:hint="eastAsia" w:ascii="宋体" w:hAnsi="宋体" w:cs="宋体"/>
          <w:kern w:val="0"/>
          <w:sz w:val="24"/>
          <w:szCs w:val="24"/>
          <w:lang w:val="en-US" w:eastAsia="zh-CN" w:bidi="ar"/>
        </w:rPr>
        <w:t>注：原粪池外2000处新建化粪池，采用</w:t>
      </w:r>
      <w:r>
        <w:rPr>
          <w:rFonts w:hint="eastAsia"/>
          <w:lang w:val="en-US" w:eastAsia="zh-CN"/>
        </w:rPr>
        <w:t>污水管dn160UPVC管排放至化粪池，坡向化粪池，坡度1%，埋深0.5米。</w:t>
      </w:r>
    </w:p>
    <w:p>
      <w:pPr>
        <w:numPr>
          <w:ilvl w:val="0"/>
          <w:numId w:val="0"/>
        </w:numPr>
        <w:ind w:left="720" w:leftChars="0"/>
        <w:rPr>
          <w:rFonts w:hint="eastAsia"/>
          <w:b/>
          <w:bCs/>
          <w:lang w:val="en-US" w:eastAsia="zh-CN"/>
        </w:rPr>
      </w:pPr>
      <w:r>
        <w:rPr>
          <w:rFonts w:hint="eastAsia"/>
          <w:lang w:val="en-US" w:eastAsia="zh-CN"/>
        </w:rPr>
        <w:t>改造卫生间给排水做法：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626100" cy="3543935"/>
            <wp:effectExtent l="0" t="0" r="12700" b="18415"/>
            <wp:docPr id="3" name="图片 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true"/>
                    </pic:cNvPicPr>
                  </pic:nvPicPr>
                  <pic:blipFill>
                    <a:blip r:embed="rId20"/>
                    <a:stretch>
                      <a:fillRect/>
                    </a:stretch>
                  </pic:blipFill>
                  <pic:spPr>
                    <a:xfrm>
                      <a:off x="0" y="0"/>
                      <a:ext cx="5626100" cy="354393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ind w:left="0" w:leftChars="0" w:firstLine="560" w:firstLineChars="200"/>
        <w:jc w:val="left"/>
        <w:rPr>
          <w:rFonts w:hint="default"/>
          <w:sz w:val="21"/>
          <w:szCs w:val="21"/>
          <w:lang w:val="en-US" w:eastAsia="zh-CN"/>
        </w:rPr>
      </w:pPr>
      <w:r>
        <w:rPr>
          <w:rFonts w:hint="eastAsia"/>
          <w:lang w:val="en-US" w:eastAsia="zh-CN"/>
        </w:rPr>
        <w:t>注：1.生活给水管 : 生活给水管采用PP-R给水塑料管,热熔连接。冷水管压力等级1.0MPa。2.出户管采用UPVC管，粘接，排至检查井或化粪池，坡向检查井或化粪池，坡度1%，埋深0.3米。</w:t>
      </w:r>
    </w:p>
    <w:p>
      <w:pPr>
        <w:keepNext w:val="0"/>
        <w:keepLines w:val="0"/>
        <w:widowControl/>
        <w:suppressLineNumbers w:val="0"/>
        <w:jc w:val="left"/>
        <w:rPr>
          <w:rFonts w:hint="eastAsia"/>
          <w:lang w:val="en-US" w:eastAsia="zh-CN"/>
        </w:rPr>
      </w:pPr>
      <w:r>
        <w:rPr>
          <w:rFonts w:hint="eastAsia"/>
          <w:lang w:val="en-US" w:eastAsia="zh-CN"/>
        </w:rPr>
        <w:t>改造卫生间照明及插座做法：</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867275" cy="3120390"/>
            <wp:effectExtent l="0" t="0" r="9525" b="3810"/>
            <wp:docPr id="4" name="图片 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true"/>
                    </pic:cNvPicPr>
                  </pic:nvPicPr>
                  <pic:blipFill>
                    <a:blip r:embed="rId21"/>
                    <a:stretch>
                      <a:fillRect/>
                    </a:stretch>
                  </pic:blipFill>
                  <pic:spPr>
                    <a:xfrm>
                      <a:off x="0" y="0"/>
                      <a:ext cx="4867275" cy="3120390"/>
                    </a:xfrm>
                    <a:prstGeom prst="rect">
                      <a:avLst/>
                    </a:prstGeom>
                    <a:noFill/>
                    <a:ln w="9525">
                      <a:noFill/>
                    </a:ln>
                  </pic:spPr>
                </pic:pic>
              </a:graphicData>
            </a:graphic>
          </wp:inline>
        </w:drawing>
      </w:r>
    </w:p>
    <w:p>
      <w:pPr>
        <w:keepNext w:val="0"/>
        <w:keepLines w:val="0"/>
        <w:widowControl/>
        <w:suppressLineNumbers w:val="0"/>
        <w:ind w:left="0" w:leftChars="0" w:firstLine="280" w:firstLineChars="100"/>
        <w:jc w:val="left"/>
        <w:rPr>
          <w:rFonts w:hint="eastAsia"/>
          <w:lang w:val="en-US" w:eastAsia="zh-CN"/>
        </w:rPr>
      </w:pPr>
      <w:r>
        <w:rPr>
          <w:rFonts w:hint="eastAsia"/>
          <w:lang w:val="en-US" w:eastAsia="zh-CN"/>
        </w:rPr>
        <w:t>污水干管做法：</w:t>
      </w:r>
    </w:p>
    <w:p>
      <w:pPr>
        <w:keepNext w:val="0"/>
        <w:keepLines w:val="0"/>
        <w:widowControl/>
        <w:suppressLineNumbers w:val="0"/>
        <w:ind w:left="0" w:leftChars="0" w:firstLine="0" w:firstLineChars="0"/>
        <w:jc w:val="left"/>
      </w:pPr>
      <w:r>
        <w:rPr>
          <w:rFonts w:ascii="宋体" w:hAnsi="宋体" w:eastAsia="宋体" w:cs="宋体"/>
          <w:kern w:val="0"/>
          <w:sz w:val="24"/>
          <w:szCs w:val="24"/>
          <w:lang w:val="en-US" w:eastAsia="zh-CN" w:bidi="ar"/>
        </w:rPr>
        <w:drawing>
          <wp:inline distT="0" distB="0" distL="114300" distR="114300">
            <wp:extent cx="5176520" cy="3049270"/>
            <wp:effectExtent l="0" t="0" r="5080" b="17780"/>
            <wp:docPr id="16" name="图片 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6" name="图片 7" descr="IMG_256"/>
                    <pic:cNvPicPr>
                      <a:picLocks noChangeAspect="true"/>
                    </pic:cNvPicPr>
                  </pic:nvPicPr>
                  <pic:blipFill>
                    <a:blip r:embed="rId22"/>
                    <a:stretch>
                      <a:fillRect/>
                    </a:stretch>
                  </pic:blipFill>
                  <pic:spPr>
                    <a:xfrm>
                      <a:off x="0" y="0"/>
                      <a:ext cx="5176520" cy="304927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5115560" cy="2305050"/>
            <wp:effectExtent l="0" t="0" r="8890" b="0"/>
            <wp:docPr id="17"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 name="图片 8" descr="IMG_256"/>
                    <pic:cNvPicPr>
                      <a:picLocks noChangeAspect="true"/>
                    </pic:cNvPicPr>
                  </pic:nvPicPr>
                  <pic:blipFill>
                    <a:blip r:embed="rId23"/>
                    <a:stretch>
                      <a:fillRect/>
                    </a:stretch>
                  </pic:blipFill>
                  <pic:spPr>
                    <a:xfrm>
                      <a:off x="0" y="0"/>
                      <a:ext cx="5115560" cy="230505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06670" cy="3058160"/>
            <wp:effectExtent l="0" t="0" r="17780" b="8890"/>
            <wp:docPr id="18"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8" name="图片 9" descr="IMG_256"/>
                    <pic:cNvPicPr>
                      <a:picLocks noChangeAspect="true"/>
                    </pic:cNvPicPr>
                  </pic:nvPicPr>
                  <pic:blipFill>
                    <a:blip r:embed="rId24"/>
                    <a:stretch>
                      <a:fillRect/>
                    </a:stretch>
                  </pic:blipFill>
                  <pic:spPr>
                    <a:xfrm>
                      <a:off x="0" y="0"/>
                      <a:ext cx="5106670" cy="30581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95875" cy="2723515"/>
            <wp:effectExtent l="0" t="0" r="9525" b="635"/>
            <wp:docPr id="19" name="图片 1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9" name="图片 10" descr="IMG_256"/>
                    <pic:cNvPicPr>
                      <a:picLocks noChangeAspect="true"/>
                    </pic:cNvPicPr>
                  </pic:nvPicPr>
                  <pic:blipFill>
                    <a:blip r:embed="rId25"/>
                    <a:stretch>
                      <a:fillRect/>
                    </a:stretch>
                  </pic:blipFill>
                  <pic:spPr>
                    <a:xfrm>
                      <a:off x="0" y="0"/>
                      <a:ext cx="5095875" cy="2723515"/>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spacing w:line="600" w:lineRule="exact"/>
        <w:ind w:left="0" w:leftChars="0" w:firstLine="0" w:firstLineChars="0"/>
        <w:rPr>
          <w:rFonts w:hint="default"/>
          <w:sz w:val="21"/>
          <w:szCs w:val="21"/>
          <w:lang w:val="en-US" w:eastAsia="zh-CN"/>
        </w:rPr>
      </w:pPr>
      <w:r>
        <w:rPr>
          <w:rFonts w:hint="eastAsia"/>
          <w:sz w:val="21"/>
          <w:szCs w:val="21"/>
          <w:lang w:val="en-US" w:eastAsia="zh-CN"/>
        </w:rPr>
        <w:t>新建卫生间做法：180mm厚页岩砖砌筑墙体。</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981575" cy="5019675"/>
            <wp:effectExtent l="0" t="0" r="9525" b="9525"/>
            <wp:docPr id="8"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true"/>
                    </pic:cNvPicPr>
                  </pic:nvPicPr>
                  <pic:blipFill>
                    <a:blip r:embed="rId17"/>
                    <a:stretch>
                      <a:fillRect/>
                    </a:stretch>
                  </pic:blipFill>
                  <pic:spPr>
                    <a:xfrm>
                      <a:off x="0" y="0"/>
                      <a:ext cx="4981575" cy="5019675"/>
                    </a:xfrm>
                    <a:prstGeom prst="rect">
                      <a:avLst/>
                    </a:prstGeom>
                    <a:noFill/>
                    <a:ln w="9525">
                      <a:noFill/>
                    </a:ln>
                  </pic:spPr>
                </pic:pic>
              </a:graphicData>
            </a:graphic>
          </wp:inline>
        </w:drawing>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4933950" cy="1476375"/>
            <wp:effectExtent l="0" t="0" r="0" b="9525"/>
            <wp:docPr id="9"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图片 9" descr="IMG_256"/>
                    <pic:cNvPicPr>
                      <a:picLocks noChangeAspect="true"/>
                    </pic:cNvPicPr>
                  </pic:nvPicPr>
                  <pic:blipFill>
                    <a:blip r:embed="rId18"/>
                    <a:stretch>
                      <a:fillRect/>
                    </a:stretch>
                  </pic:blipFill>
                  <pic:spPr>
                    <a:xfrm>
                      <a:off x="0" y="0"/>
                      <a:ext cx="4933950" cy="1476375"/>
                    </a:xfrm>
                    <a:prstGeom prst="rect">
                      <a:avLst/>
                    </a:prstGeom>
                    <a:noFill/>
                    <a:ln w="9525">
                      <a:noFill/>
                    </a:ln>
                  </pic:spPr>
                </pic:pic>
              </a:graphicData>
            </a:graphic>
          </wp:inline>
        </w:drawing>
      </w:r>
    </w:p>
    <w:p>
      <w:pPr>
        <w:keepNext w:val="0"/>
        <w:keepLines w:val="0"/>
        <w:widowControl/>
        <w:suppressLineNumbers w:val="0"/>
        <w:ind w:left="0" w:leftChars="0" w:firstLine="0" w:firstLineChars="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42840" cy="4791075"/>
            <wp:effectExtent l="0" t="0" r="10160" b="9525"/>
            <wp:docPr id="21" name="图片 1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1" name="图片 11" descr="IMG_256"/>
                    <pic:cNvPicPr>
                      <a:picLocks noChangeAspect="true"/>
                    </pic:cNvPicPr>
                  </pic:nvPicPr>
                  <pic:blipFill>
                    <a:blip r:embed="rId26"/>
                    <a:stretch>
                      <a:fillRect/>
                    </a:stretch>
                  </pic:blipFill>
                  <pic:spPr>
                    <a:xfrm>
                      <a:off x="0" y="0"/>
                      <a:ext cx="4942840" cy="479107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238375" cy="3067050"/>
            <wp:effectExtent l="0" t="0" r="9525" b="0"/>
            <wp:docPr id="23" name="图片 1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3" name="图片 12" descr="IMG_256"/>
                    <pic:cNvPicPr>
                      <a:picLocks noChangeAspect="true"/>
                    </pic:cNvPicPr>
                  </pic:nvPicPr>
                  <pic:blipFill>
                    <a:blip r:embed="rId27"/>
                    <a:stretch>
                      <a:fillRect/>
                    </a:stretch>
                  </pic:blipFill>
                  <pic:spPr>
                    <a:xfrm>
                      <a:off x="0" y="0"/>
                      <a:ext cx="2238375" cy="306705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2695575" cy="3039745"/>
            <wp:effectExtent l="0" t="0" r="9525" b="8255"/>
            <wp:docPr id="24" name="图片 1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4" name="图片 13" descr="IMG_256"/>
                    <pic:cNvPicPr>
                      <a:picLocks noChangeAspect="true"/>
                    </pic:cNvPicPr>
                  </pic:nvPicPr>
                  <pic:blipFill>
                    <a:blip r:embed="rId28"/>
                    <a:stretch>
                      <a:fillRect/>
                    </a:stretch>
                  </pic:blipFill>
                  <pic:spPr>
                    <a:xfrm>
                      <a:off x="0" y="0"/>
                      <a:ext cx="2695575" cy="303974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28590" cy="3858260"/>
            <wp:effectExtent l="0" t="0" r="10160" b="8890"/>
            <wp:docPr id="25" name="图片 1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5" name="图片 14" descr="IMG_256"/>
                    <pic:cNvPicPr>
                      <a:picLocks noChangeAspect="true"/>
                    </pic:cNvPicPr>
                  </pic:nvPicPr>
                  <pic:blipFill>
                    <a:blip r:embed="rId29"/>
                    <a:stretch>
                      <a:fillRect/>
                    </a:stretch>
                  </pic:blipFill>
                  <pic:spPr>
                    <a:xfrm>
                      <a:off x="0" y="0"/>
                      <a:ext cx="5228590" cy="38582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19700" cy="4124960"/>
            <wp:effectExtent l="0" t="0" r="0" b="8890"/>
            <wp:docPr id="26" name="图片 1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6" name="图片 15" descr="IMG_256"/>
                    <pic:cNvPicPr>
                      <a:picLocks noChangeAspect="true"/>
                    </pic:cNvPicPr>
                  </pic:nvPicPr>
                  <pic:blipFill>
                    <a:blip r:embed="rId30"/>
                    <a:stretch>
                      <a:fillRect/>
                    </a:stretch>
                  </pic:blipFill>
                  <pic:spPr>
                    <a:xfrm>
                      <a:off x="0" y="0"/>
                      <a:ext cx="5219700" cy="412496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ind w:left="0" w:leftChars="0" w:firstLine="0" w:firstLineChars="0"/>
        <w:jc w:val="left"/>
        <w:rPr>
          <w:rFonts w:ascii="宋体" w:hAnsi="宋体" w:eastAsia="宋体" w:cs="宋体"/>
          <w:kern w:val="0"/>
          <w:sz w:val="24"/>
          <w:szCs w:val="24"/>
          <w:lang w:val="en-US" w:eastAsia="zh-CN" w:bidi="ar"/>
        </w:rPr>
      </w:pP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5019040" cy="3868420"/>
            <wp:effectExtent l="0" t="0" r="10160" b="17780"/>
            <wp:docPr id="27" name="图片 1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7" name="图片 16" descr="IMG_256"/>
                    <pic:cNvPicPr>
                      <a:picLocks noChangeAspect="true"/>
                    </pic:cNvPicPr>
                  </pic:nvPicPr>
                  <pic:blipFill>
                    <a:blip r:embed="rId31"/>
                    <a:stretch>
                      <a:fillRect/>
                    </a:stretch>
                  </pic:blipFill>
                  <pic:spPr>
                    <a:xfrm>
                      <a:off x="0" y="0"/>
                      <a:ext cx="5019040" cy="386842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19040" cy="4305300"/>
            <wp:effectExtent l="0" t="0" r="10160" b="0"/>
            <wp:docPr id="28" name="图片 1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8" name="图片 17" descr="IMG_256"/>
                    <pic:cNvPicPr>
                      <a:picLocks noChangeAspect="true"/>
                    </pic:cNvPicPr>
                  </pic:nvPicPr>
                  <pic:blipFill>
                    <a:blip r:embed="rId32"/>
                    <a:stretch>
                      <a:fillRect/>
                    </a:stretch>
                  </pic:blipFill>
                  <pic:spPr>
                    <a:xfrm>
                      <a:off x="0" y="0"/>
                      <a:ext cx="5019040" cy="430530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981960" cy="2256790"/>
            <wp:effectExtent l="0" t="0" r="8890" b="10160"/>
            <wp:docPr id="29" name="图片 1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9" name="图片 18" descr="IMG_256"/>
                    <pic:cNvPicPr>
                      <a:picLocks noChangeAspect="true"/>
                    </pic:cNvPicPr>
                  </pic:nvPicPr>
                  <pic:blipFill>
                    <a:blip r:embed="rId33"/>
                    <a:stretch>
                      <a:fillRect/>
                    </a:stretch>
                  </pic:blipFill>
                  <pic:spPr>
                    <a:xfrm>
                      <a:off x="0" y="0"/>
                      <a:ext cx="2981960" cy="225679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1924050" cy="2262505"/>
            <wp:effectExtent l="0" t="0" r="0" b="4445"/>
            <wp:docPr id="30" name="图片 1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0" name="图片 19" descr="IMG_256"/>
                    <pic:cNvPicPr>
                      <a:picLocks noChangeAspect="true"/>
                    </pic:cNvPicPr>
                  </pic:nvPicPr>
                  <pic:blipFill>
                    <a:blip r:embed="rId34"/>
                    <a:stretch>
                      <a:fillRect/>
                    </a:stretch>
                  </pic:blipFill>
                  <pic:spPr>
                    <a:xfrm>
                      <a:off x="0" y="0"/>
                      <a:ext cx="1924050" cy="226250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34585" cy="2628900"/>
            <wp:effectExtent l="0" t="0" r="18415" b="0"/>
            <wp:docPr id="31" name="图片 2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1" name="图片 20" descr="IMG_256"/>
                    <pic:cNvPicPr>
                      <a:picLocks noChangeAspect="true"/>
                    </pic:cNvPicPr>
                  </pic:nvPicPr>
                  <pic:blipFill>
                    <a:blip r:embed="rId35"/>
                    <a:stretch>
                      <a:fillRect/>
                    </a:stretch>
                  </pic:blipFill>
                  <pic:spPr>
                    <a:xfrm>
                      <a:off x="0" y="0"/>
                      <a:ext cx="4934585" cy="262890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52365" cy="2686050"/>
            <wp:effectExtent l="0" t="0" r="635" b="0"/>
            <wp:docPr id="32" name="图片 2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2" name="图片 21" descr="IMG_256"/>
                    <pic:cNvPicPr>
                      <a:picLocks noChangeAspect="true"/>
                    </pic:cNvPicPr>
                  </pic:nvPicPr>
                  <pic:blipFill>
                    <a:blip r:embed="rId36"/>
                    <a:stretch>
                      <a:fillRect/>
                    </a:stretch>
                  </pic:blipFill>
                  <pic:spPr>
                    <a:xfrm>
                      <a:off x="0" y="0"/>
                      <a:ext cx="4952365" cy="268605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8455" cy="3955415"/>
            <wp:effectExtent l="0" t="0" r="10795" b="6985"/>
            <wp:docPr id="10" name="图片 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图片 5" descr="IMG_256"/>
                    <pic:cNvPicPr>
                      <a:picLocks noChangeAspect="true"/>
                    </pic:cNvPicPr>
                  </pic:nvPicPr>
                  <pic:blipFill>
                    <a:blip r:embed="rId37"/>
                    <a:stretch>
                      <a:fillRect/>
                    </a:stretch>
                  </pic:blipFill>
                  <pic:spPr>
                    <a:xfrm>
                      <a:off x="0" y="0"/>
                      <a:ext cx="5418455" cy="395541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4010" cy="4345940"/>
            <wp:effectExtent l="0" t="0" r="15240" b="16510"/>
            <wp:docPr id="35" name="图片 2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5" name="图片 24" descr="IMG_256"/>
                    <pic:cNvPicPr>
                      <a:picLocks noChangeAspect="true"/>
                    </pic:cNvPicPr>
                  </pic:nvPicPr>
                  <pic:blipFill>
                    <a:blip r:embed="rId38"/>
                    <a:stretch>
                      <a:fillRect/>
                    </a:stretch>
                  </pic:blipFill>
                  <pic:spPr>
                    <a:xfrm>
                      <a:off x="0" y="0"/>
                      <a:ext cx="5414010" cy="434594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ind w:left="0" w:leftChars="0" w:firstLine="0" w:firstLineChars="0"/>
        <w:jc w:val="left"/>
      </w:pP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5800090" cy="3801110"/>
            <wp:effectExtent l="0" t="0" r="10160" b="8890"/>
            <wp:docPr id="11" name="图片 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 name="图片 6" descr="IMG_256"/>
                    <pic:cNvPicPr>
                      <a:picLocks noChangeAspect="true"/>
                    </pic:cNvPicPr>
                  </pic:nvPicPr>
                  <pic:blipFill>
                    <a:blip r:embed="rId39"/>
                    <a:stretch>
                      <a:fillRect/>
                    </a:stretch>
                  </pic:blipFill>
                  <pic:spPr>
                    <a:xfrm>
                      <a:off x="0" y="0"/>
                      <a:ext cx="5800090" cy="380111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5771515" cy="4000500"/>
            <wp:effectExtent l="0" t="0" r="635" b="0"/>
            <wp:docPr id="37" name="图片 2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7" name="图片 26" descr="IMG_256"/>
                    <pic:cNvPicPr>
                      <a:picLocks noChangeAspect="true"/>
                    </pic:cNvPicPr>
                  </pic:nvPicPr>
                  <pic:blipFill>
                    <a:blip r:embed="rId40"/>
                    <a:stretch>
                      <a:fillRect/>
                    </a:stretch>
                  </pic:blipFill>
                  <pic:spPr>
                    <a:xfrm>
                      <a:off x="0" y="0"/>
                      <a:ext cx="5771515" cy="4000500"/>
                    </a:xfrm>
                    <a:prstGeom prst="rect">
                      <a:avLst/>
                    </a:prstGeom>
                    <a:noFill/>
                    <a:ln w="9525">
                      <a:noFill/>
                    </a:ln>
                  </pic:spPr>
                </pic:pic>
              </a:graphicData>
            </a:graphic>
          </wp:inline>
        </w:drawing>
      </w:r>
    </w:p>
    <w:p>
      <w:pPr>
        <w:pStyle w:val="4"/>
        <w:numPr>
          <w:ilvl w:val="0"/>
          <w:numId w:val="0"/>
        </w:numPr>
        <w:tabs>
          <w:tab w:val="left" w:pos="1959"/>
          <w:tab w:val="center" w:pos="5126"/>
        </w:tabs>
        <w:spacing w:line="600" w:lineRule="exact"/>
        <w:ind w:firstLine="1686" w:firstLineChars="600"/>
        <w:jc w:val="left"/>
        <w:rPr>
          <w:rFonts w:hint="eastAsia" w:ascii="Times New Roman" w:hAnsi="Times New Roman" w:eastAsia="仿宋"/>
          <w:b/>
          <w:bCs/>
          <w:color w:val="000000"/>
          <w:sz w:val="28"/>
          <w:szCs w:val="28"/>
          <w:lang w:val="en-US" w:eastAsia="zh-CN"/>
        </w:rPr>
      </w:pPr>
      <w:r>
        <w:rPr>
          <w:rFonts w:hint="eastAsia" w:ascii="Times New Roman" w:hAnsi="Times New Roman" w:eastAsia="仿宋"/>
          <w:b/>
          <w:bCs/>
          <w:color w:val="000000"/>
          <w:sz w:val="28"/>
          <w:szCs w:val="28"/>
          <w:lang w:val="en-US" w:eastAsia="zh-CN"/>
        </w:rPr>
        <w:t>第七章</w:t>
      </w:r>
      <w:r>
        <w:rPr>
          <w:rFonts w:hint="eastAsia" w:ascii="Times New Roman" w:hAnsi="Times New Roman" w:eastAsia="仿宋"/>
          <w:b/>
          <w:bCs/>
          <w:color w:val="000000"/>
          <w:sz w:val="28"/>
          <w:szCs w:val="28"/>
        </w:rPr>
        <w:t>项目建设</w:t>
      </w:r>
      <w:r>
        <w:rPr>
          <w:rFonts w:hint="eastAsia" w:ascii="Times New Roman" w:hAnsi="Times New Roman" w:eastAsia="仿宋"/>
          <w:b/>
          <w:bCs/>
          <w:color w:val="000000"/>
          <w:sz w:val="28"/>
          <w:szCs w:val="28"/>
          <w:lang w:val="en-US" w:eastAsia="zh-CN"/>
        </w:rPr>
        <w:t>估算</w:t>
      </w:r>
    </w:p>
    <w:p>
      <w:pPr>
        <w:numPr>
          <w:ilvl w:val="0"/>
          <w:numId w:val="2"/>
        </w:numPr>
        <w:rPr>
          <w:rFonts w:hint="eastAsia"/>
          <w:lang w:val="en-US" w:eastAsia="zh-CN"/>
        </w:rPr>
      </w:pPr>
      <w:r>
        <w:rPr>
          <w:rFonts w:hint="eastAsia"/>
          <w:lang w:val="en-US" w:eastAsia="zh-CN"/>
        </w:rPr>
        <w:t>改建卫生间估算</w:t>
      </w:r>
    </w:p>
    <w:p>
      <w:pPr>
        <w:numPr>
          <w:ilvl w:val="0"/>
          <w:numId w:val="0"/>
        </w:numPr>
        <w:rPr>
          <w:rFonts w:hint="default"/>
          <w:lang w:val="en-US" w:eastAsia="zh-CN"/>
        </w:rPr>
      </w:pPr>
      <w:r>
        <w:rPr>
          <w:rFonts w:hint="eastAsia"/>
          <w:lang w:val="en-US" w:eastAsia="zh-CN"/>
        </w:rPr>
        <w:t xml:space="preserve">      1. 改建卫生间（砌筑一面墙体）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134.4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0.834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630.5</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10.69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203.2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1414.71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0"/>
        </w:numPr>
        <w:rPr>
          <w:rFonts w:hint="default"/>
          <w:lang w:val="en-US" w:eastAsia="zh-CN"/>
        </w:rPr>
      </w:pPr>
      <w:r>
        <w:rPr>
          <w:rFonts w:hint="eastAsia"/>
          <w:lang w:val="en-US" w:eastAsia="zh-CN"/>
        </w:rPr>
        <w:t xml:space="preserve">   2. 改建卫生间（砌筑二面墙体）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2282.54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249.6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1.806</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1365.34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349.6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228.25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2510.79</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新建卫生间估算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4990.27</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7.8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499.2</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3.312</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2503.87</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36.8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699.2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屋面现浇防水</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499.03</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5489.3</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整改原有粪池估算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处理原有粪池上口部分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盖板制作及安装</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286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Z1-2SQF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1383.8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Z2-4SQF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1887.6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Z3-6SQF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2413.4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Z4-9SQF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2901.8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出户管估算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240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与原出户管连接及处理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出户管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连接管估算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粪池接口处理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连接管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275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污水干管估算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1850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TXXQ高密度聚乙烯塑料检查井</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个</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dn300HDPE高密度聚乙烯螺旋缠绕管</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20</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2035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pStyle w:val="4"/>
        <w:numPr>
          <w:ilvl w:val="0"/>
          <w:numId w:val="0"/>
        </w:numPr>
        <w:spacing w:line="600" w:lineRule="exact"/>
        <w:ind w:firstLine="843" w:firstLineChars="300"/>
        <w:jc w:val="both"/>
        <w:rPr>
          <w:rFonts w:hint="eastAsia" w:asciiTheme="majorEastAsia" w:hAnsiTheme="majorEastAsia" w:eastAsiaTheme="majorEastAsia" w:cstheme="majorEastAsia"/>
          <w:b/>
          <w:bCs/>
          <w:color w:val="000000"/>
          <w:sz w:val="28"/>
          <w:szCs w:val="28"/>
          <w:lang w:val="en-US" w:eastAsia="zh-CN"/>
        </w:rPr>
      </w:pPr>
      <w:r>
        <w:rPr>
          <w:rFonts w:hint="eastAsia" w:asciiTheme="majorEastAsia" w:hAnsiTheme="majorEastAsia" w:eastAsiaTheme="majorEastAsia" w:cstheme="majorEastAsia"/>
          <w:b/>
          <w:bCs/>
          <w:color w:val="000000"/>
          <w:sz w:val="28"/>
          <w:szCs w:val="28"/>
          <w:lang w:val="en-US" w:eastAsia="zh-CN"/>
        </w:rPr>
        <w:t>第八章</w:t>
      </w:r>
      <w:r>
        <w:rPr>
          <w:rFonts w:hint="eastAsia" w:asciiTheme="majorEastAsia" w:hAnsiTheme="majorEastAsia" w:eastAsiaTheme="majorEastAsia" w:cstheme="majorEastAsia"/>
          <w:b/>
          <w:bCs/>
          <w:color w:val="000000"/>
          <w:sz w:val="28"/>
          <w:szCs w:val="28"/>
        </w:rPr>
        <w:t>项目</w:t>
      </w:r>
      <w:r>
        <w:rPr>
          <w:rFonts w:hint="eastAsia" w:asciiTheme="majorEastAsia" w:hAnsiTheme="majorEastAsia" w:eastAsiaTheme="majorEastAsia" w:cstheme="majorEastAsia"/>
          <w:b/>
          <w:bCs/>
          <w:color w:val="000000"/>
          <w:sz w:val="28"/>
          <w:szCs w:val="28"/>
          <w:lang w:val="en-US" w:eastAsia="zh-CN"/>
        </w:rPr>
        <w:t>实施具体内容及地点</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sz w:val="24"/>
          <w:szCs w:val="24"/>
          <w:lang w:val="en-US" w:eastAsia="zh-CN"/>
        </w:rPr>
        <w:t>一、</w:t>
      </w:r>
      <w:r>
        <w:rPr>
          <w:rFonts w:hint="eastAsia" w:asciiTheme="majorEastAsia" w:hAnsiTheme="majorEastAsia" w:eastAsiaTheme="majorEastAsia" w:cstheme="majorEastAsia"/>
          <w:color w:val="auto"/>
          <w:kern w:val="2"/>
          <w:sz w:val="24"/>
          <w:szCs w:val="24"/>
        </w:rPr>
        <w:t>2019年射洪市</w:t>
      </w:r>
      <w:r>
        <w:rPr>
          <w:rFonts w:hint="eastAsia" w:asciiTheme="majorEastAsia" w:hAnsiTheme="majorEastAsia" w:eastAsiaTheme="majorEastAsia" w:cstheme="majorEastAsia"/>
          <w:b w:val="0"/>
          <w:bCs/>
          <w:sz w:val="24"/>
          <w:szCs w:val="24"/>
          <w:lang w:val="en-US" w:eastAsia="zh-CN"/>
        </w:rPr>
        <w:t>广兴镇塔子山村</w:t>
      </w:r>
      <w:r>
        <w:rPr>
          <w:rFonts w:hint="eastAsia" w:asciiTheme="majorEastAsia" w:hAnsiTheme="majorEastAsia" w:eastAsiaTheme="majorEastAsia" w:cstheme="majorEastAsia"/>
          <w:color w:val="auto"/>
          <w:kern w:val="2"/>
          <w:sz w:val="24"/>
          <w:szCs w:val="24"/>
        </w:rPr>
        <w:t>人居环境整治</w:t>
      </w:r>
      <w:r>
        <w:rPr>
          <w:rFonts w:hint="eastAsia" w:asciiTheme="majorEastAsia" w:hAnsiTheme="majorEastAsia" w:eastAsiaTheme="majorEastAsia" w:cstheme="majorEastAsia"/>
          <w:color w:val="auto"/>
          <w:kern w:val="2"/>
          <w:sz w:val="24"/>
          <w:szCs w:val="24"/>
          <w:lang w:val="en-US" w:eastAsia="zh-CN"/>
        </w:rPr>
        <w:t>无害化处理任务数266户；新建整改厕所36户；联合池（多户合建化粪池）54口；单户化粪池120口；整改粪池266口；修建整改出户管及连接管</w:t>
      </w:r>
      <w:r>
        <w:rPr>
          <w:rFonts w:hint="eastAsia" w:ascii="宋体" w:hAnsi="宋体" w:eastAsia="宋体" w:cs="宋体"/>
          <w:i w:val="0"/>
          <w:color w:val="000000"/>
          <w:kern w:val="0"/>
          <w:sz w:val="20"/>
          <w:szCs w:val="20"/>
          <w:u w:val="none"/>
          <w:lang w:val="en-US" w:eastAsia="zh-CN" w:bidi="ar"/>
        </w:rPr>
        <w:t>1330</w:t>
      </w:r>
      <w:r>
        <w:rPr>
          <w:rFonts w:hint="eastAsia" w:asciiTheme="majorEastAsia" w:hAnsiTheme="majorEastAsia" w:eastAsiaTheme="majorEastAsia" w:cstheme="majorEastAsia"/>
          <w:color w:val="auto"/>
          <w:kern w:val="2"/>
          <w:sz w:val="24"/>
          <w:szCs w:val="24"/>
          <w:lang w:val="en-US" w:eastAsia="zh-CN"/>
        </w:rPr>
        <w:t>米；修建污水干管</w:t>
      </w:r>
      <w:r>
        <w:rPr>
          <w:rFonts w:hint="eastAsia" w:ascii="宋体" w:hAnsi="宋体" w:eastAsia="宋体" w:cs="宋体"/>
          <w:i w:val="0"/>
          <w:color w:val="000000"/>
          <w:kern w:val="0"/>
          <w:sz w:val="20"/>
          <w:szCs w:val="20"/>
          <w:u w:val="none"/>
          <w:lang w:val="en-US" w:eastAsia="zh-CN" w:bidi="ar"/>
        </w:rPr>
        <w:t>920</w:t>
      </w:r>
      <w:r>
        <w:rPr>
          <w:rFonts w:hint="eastAsia" w:asciiTheme="majorEastAsia" w:hAnsiTheme="majorEastAsia" w:eastAsiaTheme="majorEastAsia" w:cstheme="majorEastAsia"/>
          <w:color w:val="auto"/>
          <w:kern w:val="2"/>
          <w:sz w:val="24"/>
          <w:szCs w:val="24"/>
          <w:lang w:val="en-US" w:eastAsia="zh-CN"/>
        </w:rPr>
        <w:t>米。</w:t>
      </w:r>
    </w:p>
    <w:p>
      <w:pPr>
        <w:pStyle w:val="66"/>
        <w:numPr>
          <w:ilvl w:val="0"/>
          <w:numId w:val="0"/>
        </w:numPr>
        <w:snapToGrid w:val="0"/>
        <w:spacing w:line="360" w:lineRule="auto"/>
        <w:ind w:firstLine="480" w:firstLineChars="20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总投资金额：</w:t>
      </w:r>
      <w:r>
        <w:rPr>
          <w:rFonts w:hint="eastAsia" w:ascii="宋体" w:hAnsi="宋体" w:eastAsia="宋体" w:cs="宋体"/>
          <w:i w:val="0"/>
          <w:color w:val="000000"/>
          <w:kern w:val="0"/>
          <w:sz w:val="24"/>
          <w:szCs w:val="24"/>
          <w:u w:val="none"/>
          <w:lang w:val="en-US" w:eastAsia="zh-CN" w:bidi="ar"/>
        </w:rPr>
        <w:t>587276.45</w:t>
      </w:r>
      <w:r>
        <w:rPr>
          <w:rFonts w:hint="eastAsia" w:asciiTheme="majorEastAsia" w:hAnsiTheme="majorEastAsia" w:eastAsiaTheme="majorEastAsia" w:cstheme="majorEastAsia"/>
          <w:color w:val="auto"/>
          <w:kern w:val="2"/>
          <w:sz w:val="24"/>
          <w:szCs w:val="24"/>
          <w:lang w:val="en-US" w:eastAsia="zh-CN"/>
        </w:rPr>
        <w:t>元，其中财政奖补资金532000.00元，村民自筹55276.45元。</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二、修建砖砌化粪池统计如下：</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新建1号砖砌化粪池120座，做法详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Z1-2SQF</w:t>
      </w:r>
      <w:r>
        <w:rPr>
          <w:rFonts w:hint="eastAsia" w:asciiTheme="majorEastAsia" w:hAnsiTheme="majorEastAsia" w:eastAsiaTheme="majorEastAsia" w:cstheme="majorEastAsia"/>
          <w:b w:val="0"/>
          <w:bCs/>
          <w:color w:val="auto"/>
          <w:kern w:val="2"/>
          <w:sz w:val="24"/>
          <w:szCs w:val="24"/>
          <w:lang w:val="en-US" w:eastAsia="zh-CN"/>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新建2号砖砌化粪池27座</w:t>
      </w:r>
      <w:r>
        <w:rPr>
          <w:rFonts w:hint="eastAsia" w:asciiTheme="majorEastAsia" w:hAnsiTheme="majorEastAsia" w:eastAsiaTheme="majorEastAsia" w:cstheme="majorEastAsia"/>
          <w:sz w:val="24"/>
          <w:szCs w:val="24"/>
          <w:lang w:val="en-US" w:eastAsia="zh-CN"/>
        </w:rPr>
        <w:t>(2户合建)</w:t>
      </w:r>
      <w:r>
        <w:rPr>
          <w:rFonts w:hint="eastAsia" w:asciiTheme="majorEastAsia" w:hAnsiTheme="majorEastAsia" w:eastAsiaTheme="majorEastAsia" w:cstheme="majorEastAsia"/>
          <w:b w:val="0"/>
          <w:bCs/>
          <w:sz w:val="24"/>
          <w:szCs w:val="24"/>
          <w:lang w:val="en-US" w:eastAsia="zh-CN"/>
        </w:rPr>
        <w:t>，做法详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Z2-4SQF</w:t>
      </w:r>
      <w:r>
        <w:rPr>
          <w:rFonts w:hint="eastAsia" w:asciiTheme="majorEastAsia" w:hAnsiTheme="majorEastAsia" w:eastAsiaTheme="majorEastAsia" w:cstheme="majorEastAsia"/>
          <w:b w:val="0"/>
          <w:bCs/>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新建3号砖砌化粪池16座(3户合建)，做法详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Z3-6SQF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新建4号砖砌化粪池11座(4户合建)，做法详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Z4-9SQF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检查井采用TXXQ高密度聚乙烯塑料检查井，合计152座。</w:t>
      </w:r>
    </w:p>
    <w:p>
      <w:pPr>
        <w:pStyle w:val="2"/>
        <w:ind w:left="0" w:leftChars="0" w:firstLine="0" w:firstLineChars="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三、</w:t>
      </w:r>
      <w:r>
        <w:rPr>
          <w:rFonts w:hint="eastAsia" w:asciiTheme="majorEastAsia" w:hAnsiTheme="majorEastAsia" w:eastAsiaTheme="majorEastAsia" w:cstheme="majorEastAsia"/>
          <w:color w:val="auto"/>
          <w:kern w:val="2"/>
          <w:sz w:val="24"/>
          <w:szCs w:val="24"/>
        </w:rPr>
        <w:t>2019年射洪市</w:t>
      </w:r>
      <w:r>
        <w:rPr>
          <w:rFonts w:hint="eastAsia"/>
          <w:b w:val="0"/>
          <w:bCs/>
          <w:color w:val="000000" w:themeColor="text1"/>
          <w:sz w:val="24"/>
          <w:szCs w:val="24"/>
          <w:lang w:val="en-US" w:eastAsia="zh-CN"/>
          <w14:textFill>
            <w14:solidFill>
              <w14:schemeClr w14:val="tx1"/>
            </w14:solidFill>
          </w14:textFill>
        </w:rPr>
        <w:t>广兴镇塔子山村</w:t>
      </w:r>
      <w:r>
        <w:rPr>
          <w:rFonts w:hint="eastAsia" w:asciiTheme="majorEastAsia" w:hAnsiTheme="majorEastAsia" w:eastAsiaTheme="majorEastAsia" w:cstheme="majorEastAsia"/>
          <w:color w:val="auto"/>
          <w:kern w:val="2"/>
          <w:sz w:val="24"/>
          <w:szCs w:val="24"/>
        </w:rPr>
        <w:t>人居环境整治改厕</w:t>
      </w:r>
      <w:r>
        <w:rPr>
          <w:rFonts w:hint="eastAsia" w:asciiTheme="majorEastAsia" w:hAnsiTheme="majorEastAsia" w:eastAsiaTheme="majorEastAsia" w:cstheme="majorEastAsia"/>
          <w:color w:val="auto"/>
          <w:kern w:val="2"/>
          <w:sz w:val="24"/>
          <w:szCs w:val="24"/>
          <w:lang w:val="en-US" w:eastAsia="zh-CN"/>
        </w:rPr>
        <w:t>工程估算金额及组成：</w:t>
      </w:r>
    </w:p>
    <w:tbl>
      <w:tblPr>
        <w:tblStyle w:val="21"/>
        <w:tblW w:w="850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5"/>
        <w:gridCol w:w="2307"/>
        <w:gridCol w:w="1005"/>
        <w:gridCol w:w="1005"/>
        <w:gridCol w:w="1060"/>
        <w:gridCol w:w="1060"/>
        <w:gridCol w:w="10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序号</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建设内容</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单位</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工程量</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单价（元）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总投资（元）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9" w:hRule="atLeast"/>
        </w:trPr>
        <w:tc>
          <w:tcPr>
            <w:tcW w:w="1005"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w:t>
            </w:r>
          </w:p>
        </w:tc>
        <w:tc>
          <w:tcPr>
            <w:tcW w:w="2307"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改厕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（一面墙）户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12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1414.71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16976.52</w:t>
            </w:r>
          </w:p>
        </w:tc>
        <w:tc>
          <w:tcPr>
            <w:tcW w:w="1060"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trPr>
        <w:tc>
          <w:tcPr>
            <w:tcW w:w="1005"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2307"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rPr>
            </w:pPr>
            <w:r>
              <w:rPr>
                <w:rFonts w:hint="eastAsia" w:ascii="宋体" w:hAnsi="宋体" w:eastAsia="宋体" w:cs="宋体"/>
                <w:i w:val="0"/>
                <w:color w:val="000000"/>
                <w:kern w:val="0"/>
                <w:sz w:val="20"/>
                <w:szCs w:val="20"/>
                <w:u w:val="none"/>
                <w:lang w:val="en-US" w:eastAsia="zh-CN" w:bidi="ar"/>
              </w:rPr>
              <w:t>（二面墙）户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2510.79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42683.43</w:t>
            </w:r>
          </w:p>
        </w:tc>
        <w:tc>
          <w:tcPr>
            <w:tcW w:w="1060"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b/>
                <w:bCs/>
                <w:color w:val="000000"/>
                <w:kern w:val="0"/>
                <w:sz w:val="21"/>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58"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新建厕所</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户</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5489.3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38425.1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82"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3</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整改粪池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口</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266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286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76076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4</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修建整改出户管及连接管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1330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47880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5</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rPr>
            </w:pPr>
            <w:r>
              <w:rPr>
                <w:rFonts w:hint="eastAsia" w:ascii="宋体" w:hAnsi="宋体" w:eastAsia="宋体" w:cs="宋体"/>
                <w:i w:val="0"/>
                <w:color w:val="000000"/>
                <w:kern w:val="0"/>
                <w:sz w:val="20"/>
                <w:szCs w:val="20"/>
                <w:u w:val="none"/>
                <w:lang w:val="en-US" w:eastAsia="zh-CN" w:bidi="ar"/>
              </w:rPr>
              <w:t>修建污水干管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920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53360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6</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新建1号砖砌化粪池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120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1383.8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166056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新建2号砖砌化粪池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27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1887.6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50965.2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新建3号砖砌化粪池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2413.4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38614.4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新建4号砖砌化粪池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2901.8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31919.8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检查井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cs="宋体"/>
                <w:i w:val="0"/>
                <w:color w:val="000000"/>
                <w:kern w:val="0"/>
                <w:sz w:val="20"/>
                <w:szCs w:val="20"/>
                <w:u w:val="none"/>
                <w:lang w:val="en-US" w:eastAsia="zh-CN" w:bidi="ar"/>
              </w:rPr>
              <w:t>152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24320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11</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合计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587276.45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bl>
    <w:p>
      <w:pPr>
        <w:keepNext w:val="0"/>
        <w:keepLines w:val="0"/>
        <w:widowControl/>
        <w:suppressLineNumbers w:val="0"/>
        <w:ind w:left="0" w:leftChars="0" w:firstLine="0" w:firstLineChars="0"/>
        <w:jc w:val="left"/>
        <w:rPr>
          <w:rFonts w:hint="eastAsia" w:asciiTheme="majorEastAsia" w:hAnsiTheme="majorEastAsia" w:eastAsiaTheme="majorEastAsia" w:cstheme="majorEastAsia"/>
          <w:sz w:val="24"/>
          <w:szCs w:val="24"/>
          <w:lang w:val="en-US" w:eastAsia="zh-CN"/>
        </w:rPr>
        <w:sectPr>
          <w:footerReference r:id="rId15" w:type="default"/>
          <w:pgSz w:w="11906" w:h="16838"/>
          <w:pgMar w:top="1440" w:right="1800" w:bottom="1440" w:left="1800" w:header="851" w:footer="992" w:gutter="0"/>
          <w:cols w:space="425" w:num="1"/>
          <w:docGrid w:type="lines" w:linePitch="312" w:charSpace="0"/>
        </w:sectPr>
      </w:pPr>
      <w:r>
        <w:rPr>
          <w:rFonts w:hint="eastAsia" w:asciiTheme="majorEastAsia" w:hAnsiTheme="majorEastAsia" w:eastAsiaTheme="majorEastAsia" w:cstheme="majorEastAsia"/>
          <w:lang w:val="en-US" w:eastAsia="zh-CN"/>
        </w:rPr>
        <w:t>四、</w:t>
      </w:r>
      <w:r>
        <w:rPr>
          <w:rFonts w:hint="eastAsia" w:asciiTheme="majorEastAsia" w:hAnsiTheme="majorEastAsia" w:eastAsiaTheme="majorEastAsia" w:cstheme="majorEastAsia"/>
          <w:sz w:val="24"/>
          <w:szCs w:val="24"/>
          <w:lang w:val="en-US" w:eastAsia="zh-CN"/>
        </w:rPr>
        <w:t>具体实施用户详</w:t>
      </w:r>
      <w:r>
        <w:rPr>
          <w:rFonts w:hint="eastAsia" w:asciiTheme="majorEastAsia" w:hAnsiTheme="majorEastAsia" w:eastAsiaTheme="majorEastAsia" w:cstheme="majorEastAsia"/>
          <w:color w:val="auto"/>
          <w:kern w:val="2"/>
          <w:sz w:val="24"/>
          <w:szCs w:val="24"/>
        </w:rPr>
        <w:t>射洪市</w:t>
      </w:r>
      <w:r>
        <w:rPr>
          <w:rFonts w:hint="eastAsia" w:asciiTheme="majorEastAsia" w:hAnsiTheme="majorEastAsia" w:eastAsiaTheme="majorEastAsia" w:cstheme="majorEastAsia"/>
          <w:color w:val="auto"/>
          <w:kern w:val="2"/>
          <w:sz w:val="24"/>
          <w:szCs w:val="24"/>
          <w:lang w:val="en-US" w:eastAsia="zh-CN"/>
        </w:rPr>
        <w:t>广兴</w:t>
      </w:r>
      <w:r>
        <w:rPr>
          <w:rFonts w:hint="eastAsia"/>
          <w:b w:val="0"/>
          <w:bCs/>
          <w:sz w:val="24"/>
          <w:szCs w:val="24"/>
          <w:lang w:val="en-US" w:eastAsia="zh-CN"/>
        </w:rPr>
        <w:t>镇塔子山村</w:t>
      </w:r>
      <w:r>
        <w:rPr>
          <w:rFonts w:hint="eastAsia" w:asciiTheme="majorEastAsia" w:hAnsiTheme="majorEastAsia" w:eastAsiaTheme="majorEastAsia" w:cstheme="majorEastAsia"/>
          <w:color w:val="auto"/>
          <w:kern w:val="2"/>
          <w:sz w:val="24"/>
          <w:szCs w:val="24"/>
          <w:lang w:val="en-US" w:eastAsia="zh-CN"/>
        </w:rPr>
        <w:t>村民委员会提供的名单及地址。</w:t>
      </w:r>
    </w:p>
    <w:p>
      <w:pPr>
        <w:spacing w:line="600" w:lineRule="exact"/>
        <w:ind w:firstLine="0" w:firstLineChars="0"/>
        <w:jc w:val="left"/>
        <w:rPr>
          <w:rFonts w:hint="default"/>
          <w:b/>
          <w:sz w:val="30"/>
          <w:szCs w:val="30"/>
          <w:lang w:val="en-US" w:eastAsia="zh-CN"/>
        </w:rPr>
      </w:pPr>
    </w:p>
    <w:sectPr>
      <w:pgSz w:w="16839" w:h="23814"/>
      <w:pgMar w:top="1440" w:right="1800" w:bottom="1440" w:left="1860" w:header="851"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Informal Roman">
    <w:panose1 w:val="030604020304060B0204"/>
    <w:charset w:val="00"/>
    <w:family w:val="script"/>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wgMtV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4384" behindDoc="0" locked="0" layoutInCell="1" allowOverlap="1">
              <wp:simplePos x="0" y="0"/>
              <wp:positionH relativeFrom="margin">
                <wp:posOffset>5063490</wp:posOffset>
              </wp:positionH>
              <wp:positionV relativeFrom="paragraph">
                <wp:posOffset>-202565</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8.7pt;margin-top:-15.95pt;height:144pt;width:144pt;mso-position-horizontal-relative:margin;mso-wrap-style:none;z-index:251664384;mso-width-relative:page;mso-height-relative:page;" filled="f" stroked="f" coordsize="21600,21600" o:gfxdata="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Mw8AYdkAAAAMAQAADwAAAAAAAAABACAAAAA4AAAAZHJzL2Rv&#10;d25yZXYueG1sUEsBAhQAFAAAAAgAh07iQMCtmvAjAgAAOQQAAA4AAAAAAAAAAQAgAAAAPgEAAGRy&#10;cy9lMm9Eb2MueG1sUEsFBgAAAAAGAAYAWQEAANMFA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3360" behindDoc="0" locked="0" layoutInCell="1" allowOverlap="1">
              <wp:simplePos x="0" y="0"/>
              <wp:positionH relativeFrom="margin">
                <wp:posOffset>5021580</wp:posOffset>
              </wp:positionH>
              <wp:positionV relativeFrom="paragraph">
                <wp:posOffset>-133350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5.4pt;margin-top:-10.5pt;height:144pt;width:144pt;mso-position-horizontal-relative:margin;mso-wrap-style:none;z-index:251663360;mso-width-relative:page;mso-height-relative:page;" filled="f" stroked="f" coordsize="21600,21600" o:gfxdata="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kjAUS2AAAAAwBAAAPAAAAAAAAAAEAIAAAADgAAABkcnMvZG93bnJl&#10;di54bWxQSwECFAAUAAAACACHTuJAPu4W2yACAAA5BAAADgAAAAAAAAABACAAAAA9AQAAZHJzL2Uy&#10;b0RvYy54bWxQSwUGAAAAAAYABgBZAQAAzw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2605405</wp:posOffset>
              </wp:positionH>
              <wp:positionV relativeFrom="paragraph">
                <wp:posOffset>-104775</wp:posOffset>
              </wp:positionV>
              <wp:extent cx="616585" cy="308610"/>
              <wp:effectExtent l="0" t="0" r="0" b="0"/>
              <wp:wrapNone/>
              <wp:docPr id="51" name="文本框 51"/>
              <wp:cNvGraphicFramePr/>
              <a:graphic xmlns:a="http://schemas.openxmlformats.org/drawingml/2006/main">
                <a:graphicData uri="http://schemas.microsoft.com/office/word/2010/wordprocessingShape">
                  <wps:wsp>
                    <wps:cNvSpPr txBox="true"/>
                    <wps:spPr>
                      <a:xfrm>
                        <a:off x="0" y="0"/>
                        <a:ext cx="616585" cy="308610"/>
                      </a:xfrm>
                      <a:prstGeom prst="rect">
                        <a:avLst/>
                      </a:prstGeom>
                      <a:noFill/>
                      <a:ln w="6350">
                        <a:noFill/>
                      </a:ln>
                      <a:effectLst/>
                    </wps:spPr>
                    <wps:txbx>
                      <w:txbxContent>
                        <w:p>
                          <w:pPr>
                            <w:rPr>
                              <w:rFonts w:hint="eastAsia" w:ascii="宋体" w:hAnsi="宋体" w:eastAsia="宋体" w:cs="宋体"/>
                              <w:sz w:val="28"/>
                              <w:szCs w:val="28"/>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5.15pt;margin-top:-8.25pt;height:24.3pt;width:48.55pt;mso-position-horizontal-relative:margin;z-index:251659264;mso-width-relative:page;mso-height-relative:page;" filled="f" stroked="f" coordsize="21600,21600" o:gfxdata="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FgAAAGRycy9QSwECFAAUAAAACACHTuJA0R5Ke9kAAAAKAQAADwAAAAAAAAABACAAAAA4AAAAZHJz&#10;L2Rvd25yZXYueG1sUEsBAhQAFAAAAAgAh07iQInh+SQmAgAAOQQAAA4AAAAAAAAAAQAgAAAAPgEA&#10;AGRycy9lMm9Eb2MueG1sUEsFBgAAAAAGAAYAWQEAANYFAAAAAA==&#10;">
              <v:fill on="f" focussize="0,0"/>
              <v:stroke on="f" weight="0.5pt"/>
              <v:imagedata o:title=""/>
              <o:lock v:ext="edit" aspectratio="f"/>
              <v:textbox inset="0mm,0mm,0mm,0mm">
                <w:txbxContent>
                  <w:p>
                    <w:pPr>
                      <w:rPr>
                        <w:rFonts w:hint="eastAsia" w:ascii="宋体" w:hAnsi="宋体" w:eastAsia="宋体" w:cs="宋体"/>
                        <w:sz w:val="28"/>
                        <w:szCs w:val="28"/>
                        <w:lang w:val="en-US" w:eastAsia="zh-CN"/>
                      </w:rPr>
                    </w:pP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-400050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eastAsia="宋体"/>
                              <w:lang w:eastAsia="zh-CN"/>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31.5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CIO5GJ1AAAAAgBAAAPAAAAAAAAAAEAIAAAADgAAABkcnMvZG93bnJl&#10;di54bWxQSwECFAAUAAAACACHTuJA2ZBhCSQCAAA5BAAADgAAAAAAAAABACAAAAA5AQAAZHJzL2Uy&#10;b0RvYy54bWxQSwUGAAAAAAYABgBZAQAAzwUAAAAA&#10;">
              <v:fill on="f" focussize="0,0"/>
              <v:stroke on="f" weight="0.5pt"/>
              <v:imagedata o:title=""/>
              <o:lock v:ext="edit" aspectratio="f"/>
              <v:textbox inset="0mm,0mm,0mm,0mm" style="mso-fit-shape-to-text:t;">
                <w:txbxContent>
                  <w:p>
                    <w:pPr>
                      <w:pStyle w:val="12"/>
                      <w:rPr>
                        <w:rFonts w:hint="eastAsia" w:eastAsia="宋体"/>
                        <w:lang w:eastAsia="zh-CN"/>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2336" behindDoc="0" locked="0" layoutInCell="1" allowOverlap="1">
              <wp:simplePos x="0" y="0"/>
              <wp:positionH relativeFrom="margin">
                <wp:posOffset>7700010</wp:posOffset>
              </wp:positionH>
              <wp:positionV relativeFrom="paragraph">
                <wp:posOffset>28575</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606.3pt;margin-top:2.25pt;height:144pt;width:144pt;mso-position-horizontal-relative:margin;mso-wrap-style:none;z-index:251662336;mso-width-relative:page;mso-height-relative:page;" filled="f" stroked="f" coordsize="21600,21600" o:gfxdata="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BztLbp1wAAAAsBAAAPAAAAAAAAAAEAIAAAADgAAABkcnMvZG93&#10;bnJldi54bWxQSwECFAAUAAAACACHTuJAiqzijSQCAAA5BAAADgAAAAAAAAABACAAAAA8AQAAZHJz&#10;L2Uyb0RvYy54bWxQSwUGAAAAAAYABgBZAQAA0g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posOffset>2595880</wp:posOffset>
              </wp:positionH>
              <wp:positionV relativeFrom="paragraph">
                <wp:posOffset>-104775</wp:posOffset>
              </wp:positionV>
              <wp:extent cx="349885" cy="308610"/>
              <wp:effectExtent l="0" t="0" r="0" b="0"/>
              <wp:wrapNone/>
              <wp:docPr id="54" name="文本框 54"/>
              <wp:cNvGraphicFramePr/>
              <a:graphic xmlns:a="http://schemas.openxmlformats.org/drawingml/2006/main">
                <a:graphicData uri="http://schemas.microsoft.com/office/word/2010/wordprocessingShape">
                  <wps:wsp>
                    <wps:cNvSpPr txBox="true"/>
                    <wps:spPr>
                      <a:xfrm>
                        <a:off x="0" y="0"/>
                        <a:ext cx="349885" cy="308610"/>
                      </a:xfrm>
                      <a:prstGeom prst="rect">
                        <a:avLst/>
                      </a:prstGeom>
                      <a:noFill/>
                      <a:ln w="6350">
                        <a:noFill/>
                      </a:ln>
                      <a:effectLst/>
                    </wps:spPr>
                    <wps:txbx>
                      <w:txbxContent>
                        <w:p>
                          <w:pPr>
                            <w:rPr>
                              <w:rFonts w:hint="eastAsia"/>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4.4pt;margin-top:-8.25pt;height:24.3pt;width:27.55pt;mso-position-horizontal-relative:margin;z-index:251661312;mso-width-relative:page;mso-height-relative:page;" filled="f" stroked="f" coordsize="21600,21600" o:gfxdata="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94spH9oAAAAKAQAADwAAAAAAAAABACAAAAA4AAAA&#10;ZHJzL2Rvd25yZXYueG1sUEsBAhQAFAAAAAgAh07iQJZCu/EoAgAAOQQAAA4AAAAAAAAAAQAgAAAA&#10;PwEAAGRycy9lMm9Eb2MueG1sUEsFBgAAAAAGAAYAWQEAANkFAAAAAA==&#10;">
              <v:fill on="f" focussize="0,0"/>
              <v:stroke on="f" weight="0.5pt"/>
              <v:imagedata o:title=""/>
              <o:lock v:ext="edit" aspectratio="f"/>
              <v:textbox inset="0mm,0mm,0mm,0mm">
                <w:txbxContent>
                  <w:p>
                    <w:pPr>
                      <w:rPr>
                        <w:rFonts w:hint="eastAsia"/>
                        <w:lang w:val="en-US" w:eastAsia="zh-CN"/>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rPr>
        <w:rFonts w:ascii="Times New Roman" w:hAnsi="Times New Roman"/>
        <w:sz w:val="21"/>
        <w:szCs w:val="21"/>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ls/NX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v:textbox>
            </v:shape>
          </w:pict>
        </mc:Fallback>
      </mc:AlternateContent>
    </w:r>
  </w:p>
  <w:p>
    <w:pPr>
      <w:pStyle w:val="12"/>
      <w:ind w:firstLine="360"/>
    </w:pPr>
    <w:bookmarkStart w:id="23" w:name="_GoBack"/>
    <w:bookmarkEnd w:id="23"/>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1A8AA"/>
    <w:multiLevelType w:val="singleLevel"/>
    <w:tmpl w:val="8261A8AA"/>
    <w:lvl w:ilvl="0" w:tentative="0">
      <w:start w:val="2"/>
      <w:numFmt w:val="decimal"/>
      <w:suff w:val="nothing"/>
      <w:lvlText w:val="%1、"/>
      <w:lvlJc w:val="left"/>
    </w:lvl>
  </w:abstractNum>
  <w:abstractNum w:abstractNumId="1">
    <w:nsid w:val="E3F841CE"/>
    <w:multiLevelType w:val="singleLevel"/>
    <w:tmpl w:val="E3F841CE"/>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documentProtection w:enforcement="0"/>
  <w:defaultTabStop w:val="420"/>
  <w:drawingGridHorizontalSpacing w:val="140"/>
  <w:drawingGridVerticalSpacing w:val="381"/>
  <w:displayHorizontalDrawingGridEvery w:val="1"/>
  <w:displayVerticalDrawingGridEvery w:val="1"/>
  <w:noPunctuationKerning w:val="true"/>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290"/>
    <w:rsid w:val="000007EB"/>
    <w:rsid w:val="00001190"/>
    <w:rsid w:val="0000284A"/>
    <w:rsid w:val="000047DF"/>
    <w:rsid w:val="0000597F"/>
    <w:rsid w:val="000076B8"/>
    <w:rsid w:val="0000780E"/>
    <w:rsid w:val="00007949"/>
    <w:rsid w:val="0001048C"/>
    <w:rsid w:val="00010917"/>
    <w:rsid w:val="000117DF"/>
    <w:rsid w:val="0001281A"/>
    <w:rsid w:val="00012E13"/>
    <w:rsid w:val="0001323F"/>
    <w:rsid w:val="00014BC4"/>
    <w:rsid w:val="00016051"/>
    <w:rsid w:val="000176F7"/>
    <w:rsid w:val="00017BB8"/>
    <w:rsid w:val="00017C21"/>
    <w:rsid w:val="00020125"/>
    <w:rsid w:val="000208BD"/>
    <w:rsid w:val="00020AC1"/>
    <w:rsid w:val="0002144B"/>
    <w:rsid w:val="00021540"/>
    <w:rsid w:val="00023538"/>
    <w:rsid w:val="00027B9C"/>
    <w:rsid w:val="00030BE6"/>
    <w:rsid w:val="00031414"/>
    <w:rsid w:val="000317F5"/>
    <w:rsid w:val="000318D9"/>
    <w:rsid w:val="0003218A"/>
    <w:rsid w:val="000325CF"/>
    <w:rsid w:val="00032D64"/>
    <w:rsid w:val="00032EC7"/>
    <w:rsid w:val="00036722"/>
    <w:rsid w:val="0003783E"/>
    <w:rsid w:val="0003790C"/>
    <w:rsid w:val="00037CD1"/>
    <w:rsid w:val="00037EB9"/>
    <w:rsid w:val="00040CBA"/>
    <w:rsid w:val="00041020"/>
    <w:rsid w:val="0004141B"/>
    <w:rsid w:val="00041848"/>
    <w:rsid w:val="00041E95"/>
    <w:rsid w:val="00042792"/>
    <w:rsid w:val="000430E2"/>
    <w:rsid w:val="00043CAB"/>
    <w:rsid w:val="000462D5"/>
    <w:rsid w:val="0004655F"/>
    <w:rsid w:val="0004724D"/>
    <w:rsid w:val="00050BAD"/>
    <w:rsid w:val="0005132D"/>
    <w:rsid w:val="000535B9"/>
    <w:rsid w:val="00054FFA"/>
    <w:rsid w:val="000557F5"/>
    <w:rsid w:val="000559AD"/>
    <w:rsid w:val="00055CD0"/>
    <w:rsid w:val="000571A7"/>
    <w:rsid w:val="00057307"/>
    <w:rsid w:val="00057FAF"/>
    <w:rsid w:val="00060BFC"/>
    <w:rsid w:val="00060E79"/>
    <w:rsid w:val="00061467"/>
    <w:rsid w:val="000621EE"/>
    <w:rsid w:val="00063366"/>
    <w:rsid w:val="00063B71"/>
    <w:rsid w:val="0006402A"/>
    <w:rsid w:val="00066FCD"/>
    <w:rsid w:val="000679F4"/>
    <w:rsid w:val="00070ACF"/>
    <w:rsid w:val="0007182E"/>
    <w:rsid w:val="00073444"/>
    <w:rsid w:val="00075C12"/>
    <w:rsid w:val="00075FDE"/>
    <w:rsid w:val="000775AD"/>
    <w:rsid w:val="000776E3"/>
    <w:rsid w:val="00077DFE"/>
    <w:rsid w:val="00081A87"/>
    <w:rsid w:val="00082481"/>
    <w:rsid w:val="00082C8E"/>
    <w:rsid w:val="00084608"/>
    <w:rsid w:val="0008527F"/>
    <w:rsid w:val="000854DC"/>
    <w:rsid w:val="00085AE4"/>
    <w:rsid w:val="00085CA9"/>
    <w:rsid w:val="000860B9"/>
    <w:rsid w:val="00086FFC"/>
    <w:rsid w:val="000875BE"/>
    <w:rsid w:val="00090BE5"/>
    <w:rsid w:val="000930BD"/>
    <w:rsid w:val="00094503"/>
    <w:rsid w:val="00095957"/>
    <w:rsid w:val="00095F7F"/>
    <w:rsid w:val="00097D1A"/>
    <w:rsid w:val="000A0E14"/>
    <w:rsid w:val="000A184C"/>
    <w:rsid w:val="000A2E6B"/>
    <w:rsid w:val="000A3C9B"/>
    <w:rsid w:val="000A3DFF"/>
    <w:rsid w:val="000A4830"/>
    <w:rsid w:val="000A5D43"/>
    <w:rsid w:val="000B0E1A"/>
    <w:rsid w:val="000B2552"/>
    <w:rsid w:val="000B2EF8"/>
    <w:rsid w:val="000B30E9"/>
    <w:rsid w:val="000B427F"/>
    <w:rsid w:val="000B601E"/>
    <w:rsid w:val="000B603B"/>
    <w:rsid w:val="000C01A7"/>
    <w:rsid w:val="000C1ADC"/>
    <w:rsid w:val="000C29AF"/>
    <w:rsid w:val="000C5A0A"/>
    <w:rsid w:val="000C659C"/>
    <w:rsid w:val="000C65DC"/>
    <w:rsid w:val="000C75B7"/>
    <w:rsid w:val="000D0C33"/>
    <w:rsid w:val="000D642D"/>
    <w:rsid w:val="000D6C43"/>
    <w:rsid w:val="000D7465"/>
    <w:rsid w:val="000D7D41"/>
    <w:rsid w:val="000E01BC"/>
    <w:rsid w:val="000E3084"/>
    <w:rsid w:val="000E5C66"/>
    <w:rsid w:val="000E7230"/>
    <w:rsid w:val="000E79DB"/>
    <w:rsid w:val="000E7B65"/>
    <w:rsid w:val="000F37D5"/>
    <w:rsid w:val="000F413A"/>
    <w:rsid w:val="000F57AF"/>
    <w:rsid w:val="000F73EB"/>
    <w:rsid w:val="000F775A"/>
    <w:rsid w:val="00101FE9"/>
    <w:rsid w:val="00103B9A"/>
    <w:rsid w:val="00103D90"/>
    <w:rsid w:val="00104F11"/>
    <w:rsid w:val="001063F9"/>
    <w:rsid w:val="0010687A"/>
    <w:rsid w:val="00106FCF"/>
    <w:rsid w:val="00107EF0"/>
    <w:rsid w:val="00110C88"/>
    <w:rsid w:val="00111C6C"/>
    <w:rsid w:val="001126F3"/>
    <w:rsid w:val="00112E52"/>
    <w:rsid w:val="00114C29"/>
    <w:rsid w:val="001176A4"/>
    <w:rsid w:val="0011798F"/>
    <w:rsid w:val="00117A3C"/>
    <w:rsid w:val="00120DCD"/>
    <w:rsid w:val="00121F5E"/>
    <w:rsid w:val="001224AD"/>
    <w:rsid w:val="00122621"/>
    <w:rsid w:val="00122B13"/>
    <w:rsid w:val="00123EF3"/>
    <w:rsid w:val="00125B73"/>
    <w:rsid w:val="00125D12"/>
    <w:rsid w:val="00125DAD"/>
    <w:rsid w:val="00126921"/>
    <w:rsid w:val="001276DF"/>
    <w:rsid w:val="00131E75"/>
    <w:rsid w:val="0013258E"/>
    <w:rsid w:val="001342BD"/>
    <w:rsid w:val="001365F3"/>
    <w:rsid w:val="001365FE"/>
    <w:rsid w:val="00136DB7"/>
    <w:rsid w:val="00141F1D"/>
    <w:rsid w:val="00142BFF"/>
    <w:rsid w:val="0014504D"/>
    <w:rsid w:val="00145C77"/>
    <w:rsid w:val="00146F80"/>
    <w:rsid w:val="001501E7"/>
    <w:rsid w:val="00150691"/>
    <w:rsid w:val="0015087B"/>
    <w:rsid w:val="00151493"/>
    <w:rsid w:val="00152443"/>
    <w:rsid w:val="001546B1"/>
    <w:rsid w:val="001568CF"/>
    <w:rsid w:val="00157F7E"/>
    <w:rsid w:val="00160F75"/>
    <w:rsid w:val="00161BD2"/>
    <w:rsid w:val="001625D5"/>
    <w:rsid w:val="00162C5A"/>
    <w:rsid w:val="00163563"/>
    <w:rsid w:val="0016388F"/>
    <w:rsid w:val="00165909"/>
    <w:rsid w:val="00165C82"/>
    <w:rsid w:val="00167DBB"/>
    <w:rsid w:val="00171805"/>
    <w:rsid w:val="00171C25"/>
    <w:rsid w:val="0017220A"/>
    <w:rsid w:val="00172A27"/>
    <w:rsid w:val="00173049"/>
    <w:rsid w:val="00173A7D"/>
    <w:rsid w:val="001744B0"/>
    <w:rsid w:val="00174BD7"/>
    <w:rsid w:val="00175B76"/>
    <w:rsid w:val="001773AA"/>
    <w:rsid w:val="001809B1"/>
    <w:rsid w:val="00180A57"/>
    <w:rsid w:val="001812B6"/>
    <w:rsid w:val="00181328"/>
    <w:rsid w:val="00181B29"/>
    <w:rsid w:val="001828F6"/>
    <w:rsid w:val="001829DF"/>
    <w:rsid w:val="00183509"/>
    <w:rsid w:val="00183D2C"/>
    <w:rsid w:val="00183F48"/>
    <w:rsid w:val="001840DD"/>
    <w:rsid w:val="0018488B"/>
    <w:rsid w:val="001858CD"/>
    <w:rsid w:val="001874F9"/>
    <w:rsid w:val="00187FCB"/>
    <w:rsid w:val="00192E1D"/>
    <w:rsid w:val="001946F8"/>
    <w:rsid w:val="001954B2"/>
    <w:rsid w:val="00195C69"/>
    <w:rsid w:val="00196F21"/>
    <w:rsid w:val="001971CE"/>
    <w:rsid w:val="00197966"/>
    <w:rsid w:val="001A0518"/>
    <w:rsid w:val="001A0EA8"/>
    <w:rsid w:val="001A1B08"/>
    <w:rsid w:val="001A20CA"/>
    <w:rsid w:val="001A4A5B"/>
    <w:rsid w:val="001A637E"/>
    <w:rsid w:val="001B0072"/>
    <w:rsid w:val="001B254A"/>
    <w:rsid w:val="001B2AB2"/>
    <w:rsid w:val="001B2E34"/>
    <w:rsid w:val="001B3C65"/>
    <w:rsid w:val="001B4851"/>
    <w:rsid w:val="001B49A2"/>
    <w:rsid w:val="001B5330"/>
    <w:rsid w:val="001B6B82"/>
    <w:rsid w:val="001B76FE"/>
    <w:rsid w:val="001C117E"/>
    <w:rsid w:val="001C2A8A"/>
    <w:rsid w:val="001C51AA"/>
    <w:rsid w:val="001C5E8C"/>
    <w:rsid w:val="001C6344"/>
    <w:rsid w:val="001C70C8"/>
    <w:rsid w:val="001C7172"/>
    <w:rsid w:val="001C71AE"/>
    <w:rsid w:val="001D20BF"/>
    <w:rsid w:val="001D583A"/>
    <w:rsid w:val="001D5C0A"/>
    <w:rsid w:val="001D5F7D"/>
    <w:rsid w:val="001D68B2"/>
    <w:rsid w:val="001D68DE"/>
    <w:rsid w:val="001D6AFA"/>
    <w:rsid w:val="001D6B6E"/>
    <w:rsid w:val="001E112B"/>
    <w:rsid w:val="001E17D1"/>
    <w:rsid w:val="001E1F45"/>
    <w:rsid w:val="001E3B2B"/>
    <w:rsid w:val="001E4896"/>
    <w:rsid w:val="001E50FC"/>
    <w:rsid w:val="001E5726"/>
    <w:rsid w:val="001E6EA9"/>
    <w:rsid w:val="001E7594"/>
    <w:rsid w:val="001E77CC"/>
    <w:rsid w:val="001E793F"/>
    <w:rsid w:val="001E7FC3"/>
    <w:rsid w:val="001F1412"/>
    <w:rsid w:val="001F41B5"/>
    <w:rsid w:val="001F6264"/>
    <w:rsid w:val="001F66CB"/>
    <w:rsid w:val="002010FD"/>
    <w:rsid w:val="00201D15"/>
    <w:rsid w:val="002028B0"/>
    <w:rsid w:val="0020383D"/>
    <w:rsid w:val="0020387E"/>
    <w:rsid w:val="00210200"/>
    <w:rsid w:val="002103BF"/>
    <w:rsid w:val="00210819"/>
    <w:rsid w:val="002117AB"/>
    <w:rsid w:val="00213F58"/>
    <w:rsid w:val="0021474B"/>
    <w:rsid w:val="00214AC9"/>
    <w:rsid w:val="00215461"/>
    <w:rsid w:val="00215482"/>
    <w:rsid w:val="002166CF"/>
    <w:rsid w:val="0021779D"/>
    <w:rsid w:val="0022081C"/>
    <w:rsid w:val="002217CD"/>
    <w:rsid w:val="002228D7"/>
    <w:rsid w:val="00222986"/>
    <w:rsid w:val="002234B7"/>
    <w:rsid w:val="00224566"/>
    <w:rsid w:val="00224E82"/>
    <w:rsid w:val="002251AD"/>
    <w:rsid w:val="00225971"/>
    <w:rsid w:val="00227603"/>
    <w:rsid w:val="002276C1"/>
    <w:rsid w:val="00227AAC"/>
    <w:rsid w:val="00227CFA"/>
    <w:rsid w:val="0023013B"/>
    <w:rsid w:val="00230520"/>
    <w:rsid w:val="0023191F"/>
    <w:rsid w:val="00231C1D"/>
    <w:rsid w:val="002346DE"/>
    <w:rsid w:val="0023532B"/>
    <w:rsid w:val="00236848"/>
    <w:rsid w:val="00237F3F"/>
    <w:rsid w:val="0024055B"/>
    <w:rsid w:val="00240752"/>
    <w:rsid w:val="00241D05"/>
    <w:rsid w:val="002435D4"/>
    <w:rsid w:val="00244979"/>
    <w:rsid w:val="00244E4B"/>
    <w:rsid w:val="002461EB"/>
    <w:rsid w:val="002479B4"/>
    <w:rsid w:val="002510C8"/>
    <w:rsid w:val="002510F3"/>
    <w:rsid w:val="00252D6E"/>
    <w:rsid w:val="00253CFB"/>
    <w:rsid w:val="002559C7"/>
    <w:rsid w:val="002600C4"/>
    <w:rsid w:val="002604D1"/>
    <w:rsid w:val="0026164D"/>
    <w:rsid w:val="00261DE0"/>
    <w:rsid w:val="00263DC9"/>
    <w:rsid w:val="002659F9"/>
    <w:rsid w:val="00266FA9"/>
    <w:rsid w:val="002700ED"/>
    <w:rsid w:val="00270D91"/>
    <w:rsid w:val="00270F51"/>
    <w:rsid w:val="00270F69"/>
    <w:rsid w:val="00271853"/>
    <w:rsid w:val="00271D66"/>
    <w:rsid w:val="0027201A"/>
    <w:rsid w:val="00274B82"/>
    <w:rsid w:val="00275871"/>
    <w:rsid w:val="00276E51"/>
    <w:rsid w:val="00277A9A"/>
    <w:rsid w:val="00280DB1"/>
    <w:rsid w:val="00283CFD"/>
    <w:rsid w:val="00284351"/>
    <w:rsid w:val="002859FA"/>
    <w:rsid w:val="002909ED"/>
    <w:rsid w:val="00292A60"/>
    <w:rsid w:val="00293E0F"/>
    <w:rsid w:val="002974F1"/>
    <w:rsid w:val="002978D3"/>
    <w:rsid w:val="00297B33"/>
    <w:rsid w:val="002A67C8"/>
    <w:rsid w:val="002B01EC"/>
    <w:rsid w:val="002B059B"/>
    <w:rsid w:val="002B06B0"/>
    <w:rsid w:val="002B0808"/>
    <w:rsid w:val="002B12FE"/>
    <w:rsid w:val="002B305E"/>
    <w:rsid w:val="002B3625"/>
    <w:rsid w:val="002B5097"/>
    <w:rsid w:val="002B5E74"/>
    <w:rsid w:val="002B6207"/>
    <w:rsid w:val="002B661A"/>
    <w:rsid w:val="002B79CC"/>
    <w:rsid w:val="002C035E"/>
    <w:rsid w:val="002C05A0"/>
    <w:rsid w:val="002C100B"/>
    <w:rsid w:val="002C110D"/>
    <w:rsid w:val="002C111E"/>
    <w:rsid w:val="002C17B2"/>
    <w:rsid w:val="002C29CD"/>
    <w:rsid w:val="002C332B"/>
    <w:rsid w:val="002C3B70"/>
    <w:rsid w:val="002C47FC"/>
    <w:rsid w:val="002C5C1C"/>
    <w:rsid w:val="002C649F"/>
    <w:rsid w:val="002C6D88"/>
    <w:rsid w:val="002C71FA"/>
    <w:rsid w:val="002C781E"/>
    <w:rsid w:val="002C7B77"/>
    <w:rsid w:val="002D007C"/>
    <w:rsid w:val="002D3312"/>
    <w:rsid w:val="002D347E"/>
    <w:rsid w:val="002D356F"/>
    <w:rsid w:val="002D3D24"/>
    <w:rsid w:val="002D4C2E"/>
    <w:rsid w:val="002D5478"/>
    <w:rsid w:val="002D5A7A"/>
    <w:rsid w:val="002E12F1"/>
    <w:rsid w:val="002E1688"/>
    <w:rsid w:val="002E16AA"/>
    <w:rsid w:val="002E45FF"/>
    <w:rsid w:val="002E4F69"/>
    <w:rsid w:val="002E7451"/>
    <w:rsid w:val="002E76EF"/>
    <w:rsid w:val="002F2819"/>
    <w:rsid w:val="002F39CF"/>
    <w:rsid w:val="002F6A74"/>
    <w:rsid w:val="002F729F"/>
    <w:rsid w:val="002F7CBD"/>
    <w:rsid w:val="00300D4F"/>
    <w:rsid w:val="003030EB"/>
    <w:rsid w:val="00303460"/>
    <w:rsid w:val="00305180"/>
    <w:rsid w:val="003058D8"/>
    <w:rsid w:val="00307BA9"/>
    <w:rsid w:val="003103D3"/>
    <w:rsid w:val="00313A41"/>
    <w:rsid w:val="00315354"/>
    <w:rsid w:val="0031559C"/>
    <w:rsid w:val="003166D1"/>
    <w:rsid w:val="00316A04"/>
    <w:rsid w:val="003176B6"/>
    <w:rsid w:val="00317CF6"/>
    <w:rsid w:val="00317E3B"/>
    <w:rsid w:val="003205C0"/>
    <w:rsid w:val="00320740"/>
    <w:rsid w:val="00320CF9"/>
    <w:rsid w:val="00320DFF"/>
    <w:rsid w:val="003219C0"/>
    <w:rsid w:val="00321FD5"/>
    <w:rsid w:val="003222B1"/>
    <w:rsid w:val="003222F9"/>
    <w:rsid w:val="003234F1"/>
    <w:rsid w:val="00324B74"/>
    <w:rsid w:val="00324D7B"/>
    <w:rsid w:val="00326288"/>
    <w:rsid w:val="00327E96"/>
    <w:rsid w:val="00330951"/>
    <w:rsid w:val="0033231C"/>
    <w:rsid w:val="00334738"/>
    <w:rsid w:val="003353A6"/>
    <w:rsid w:val="00335A53"/>
    <w:rsid w:val="00343EAD"/>
    <w:rsid w:val="003455B3"/>
    <w:rsid w:val="00345616"/>
    <w:rsid w:val="00346193"/>
    <w:rsid w:val="00346409"/>
    <w:rsid w:val="00350E43"/>
    <w:rsid w:val="00352659"/>
    <w:rsid w:val="00352693"/>
    <w:rsid w:val="00354102"/>
    <w:rsid w:val="00354474"/>
    <w:rsid w:val="00355D91"/>
    <w:rsid w:val="003569B9"/>
    <w:rsid w:val="00357213"/>
    <w:rsid w:val="00357A0C"/>
    <w:rsid w:val="00360388"/>
    <w:rsid w:val="00360586"/>
    <w:rsid w:val="0036088C"/>
    <w:rsid w:val="0036244B"/>
    <w:rsid w:val="003635AC"/>
    <w:rsid w:val="00363A1B"/>
    <w:rsid w:val="00363E4B"/>
    <w:rsid w:val="00366F90"/>
    <w:rsid w:val="00367787"/>
    <w:rsid w:val="00367B0E"/>
    <w:rsid w:val="00372505"/>
    <w:rsid w:val="00372917"/>
    <w:rsid w:val="00372A5D"/>
    <w:rsid w:val="00373891"/>
    <w:rsid w:val="003742FC"/>
    <w:rsid w:val="00374D5C"/>
    <w:rsid w:val="00375973"/>
    <w:rsid w:val="00375D07"/>
    <w:rsid w:val="0037647D"/>
    <w:rsid w:val="00376991"/>
    <w:rsid w:val="00377B3F"/>
    <w:rsid w:val="00377B63"/>
    <w:rsid w:val="00377D7C"/>
    <w:rsid w:val="003809B2"/>
    <w:rsid w:val="00381564"/>
    <w:rsid w:val="00381609"/>
    <w:rsid w:val="003825C2"/>
    <w:rsid w:val="00383757"/>
    <w:rsid w:val="0038386D"/>
    <w:rsid w:val="003839A0"/>
    <w:rsid w:val="00383C58"/>
    <w:rsid w:val="00384A91"/>
    <w:rsid w:val="0039134C"/>
    <w:rsid w:val="00391558"/>
    <w:rsid w:val="003951F8"/>
    <w:rsid w:val="003972BE"/>
    <w:rsid w:val="00397E5D"/>
    <w:rsid w:val="003A010A"/>
    <w:rsid w:val="003A13FF"/>
    <w:rsid w:val="003A2056"/>
    <w:rsid w:val="003A223C"/>
    <w:rsid w:val="003A380C"/>
    <w:rsid w:val="003A5AA5"/>
    <w:rsid w:val="003A617C"/>
    <w:rsid w:val="003A6D97"/>
    <w:rsid w:val="003A71EC"/>
    <w:rsid w:val="003B122F"/>
    <w:rsid w:val="003B1AF9"/>
    <w:rsid w:val="003B23EB"/>
    <w:rsid w:val="003B2D53"/>
    <w:rsid w:val="003B56B9"/>
    <w:rsid w:val="003B5CAA"/>
    <w:rsid w:val="003B7B2C"/>
    <w:rsid w:val="003C0370"/>
    <w:rsid w:val="003C0EA0"/>
    <w:rsid w:val="003C150F"/>
    <w:rsid w:val="003C15DF"/>
    <w:rsid w:val="003C1956"/>
    <w:rsid w:val="003C229E"/>
    <w:rsid w:val="003C4C0A"/>
    <w:rsid w:val="003C4D46"/>
    <w:rsid w:val="003C5966"/>
    <w:rsid w:val="003C5D42"/>
    <w:rsid w:val="003C650C"/>
    <w:rsid w:val="003D0116"/>
    <w:rsid w:val="003D105F"/>
    <w:rsid w:val="003D39EA"/>
    <w:rsid w:val="003D4B96"/>
    <w:rsid w:val="003D6788"/>
    <w:rsid w:val="003E0B75"/>
    <w:rsid w:val="003E1F4E"/>
    <w:rsid w:val="003E519C"/>
    <w:rsid w:val="003E5885"/>
    <w:rsid w:val="003E76DF"/>
    <w:rsid w:val="003F20B7"/>
    <w:rsid w:val="003F4031"/>
    <w:rsid w:val="003F4621"/>
    <w:rsid w:val="003F4647"/>
    <w:rsid w:val="003F5C33"/>
    <w:rsid w:val="003F772B"/>
    <w:rsid w:val="003F7C10"/>
    <w:rsid w:val="003F7C4A"/>
    <w:rsid w:val="00400F47"/>
    <w:rsid w:val="00404CA8"/>
    <w:rsid w:val="00406FE1"/>
    <w:rsid w:val="004070CF"/>
    <w:rsid w:val="00407C77"/>
    <w:rsid w:val="00410162"/>
    <w:rsid w:val="004102D4"/>
    <w:rsid w:val="00411BF9"/>
    <w:rsid w:val="0041365E"/>
    <w:rsid w:val="004138AC"/>
    <w:rsid w:val="0041398F"/>
    <w:rsid w:val="00413D13"/>
    <w:rsid w:val="004153FC"/>
    <w:rsid w:val="00416CF5"/>
    <w:rsid w:val="00417B53"/>
    <w:rsid w:val="00417F24"/>
    <w:rsid w:val="00421351"/>
    <w:rsid w:val="00422263"/>
    <w:rsid w:val="00422DFE"/>
    <w:rsid w:val="00422F70"/>
    <w:rsid w:val="00426813"/>
    <w:rsid w:val="00427C17"/>
    <w:rsid w:val="00430821"/>
    <w:rsid w:val="00430E22"/>
    <w:rsid w:val="00431923"/>
    <w:rsid w:val="00433B3C"/>
    <w:rsid w:val="00434B18"/>
    <w:rsid w:val="00434CC2"/>
    <w:rsid w:val="00435FC8"/>
    <w:rsid w:val="00436586"/>
    <w:rsid w:val="00436FDE"/>
    <w:rsid w:val="00437A1D"/>
    <w:rsid w:val="00437F58"/>
    <w:rsid w:val="00440A93"/>
    <w:rsid w:val="0044116E"/>
    <w:rsid w:val="00441AD3"/>
    <w:rsid w:val="00442226"/>
    <w:rsid w:val="00443535"/>
    <w:rsid w:val="004443BC"/>
    <w:rsid w:val="00444ADF"/>
    <w:rsid w:val="00444F49"/>
    <w:rsid w:val="00445636"/>
    <w:rsid w:val="00445D27"/>
    <w:rsid w:val="00447E95"/>
    <w:rsid w:val="00450296"/>
    <w:rsid w:val="00450563"/>
    <w:rsid w:val="0045183A"/>
    <w:rsid w:val="00451D19"/>
    <w:rsid w:val="00451FD7"/>
    <w:rsid w:val="00452625"/>
    <w:rsid w:val="004529BA"/>
    <w:rsid w:val="00452DA6"/>
    <w:rsid w:val="00452FC8"/>
    <w:rsid w:val="00453A3A"/>
    <w:rsid w:val="00454154"/>
    <w:rsid w:val="00455D22"/>
    <w:rsid w:val="00455E4A"/>
    <w:rsid w:val="00456CC2"/>
    <w:rsid w:val="00457B41"/>
    <w:rsid w:val="0046039E"/>
    <w:rsid w:val="00462CB8"/>
    <w:rsid w:val="00464B99"/>
    <w:rsid w:val="004658E0"/>
    <w:rsid w:val="00465B43"/>
    <w:rsid w:val="00466E8F"/>
    <w:rsid w:val="00467429"/>
    <w:rsid w:val="00467D5D"/>
    <w:rsid w:val="004709C4"/>
    <w:rsid w:val="00471159"/>
    <w:rsid w:val="004716EE"/>
    <w:rsid w:val="004721CF"/>
    <w:rsid w:val="00472635"/>
    <w:rsid w:val="0047521C"/>
    <w:rsid w:val="00475D6E"/>
    <w:rsid w:val="00480F9E"/>
    <w:rsid w:val="004814B5"/>
    <w:rsid w:val="00481DCE"/>
    <w:rsid w:val="00481EB0"/>
    <w:rsid w:val="00482B69"/>
    <w:rsid w:val="0048466B"/>
    <w:rsid w:val="00486A8A"/>
    <w:rsid w:val="00487DBB"/>
    <w:rsid w:val="00491217"/>
    <w:rsid w:val="00491BA7"/>
    <w:rsid w:val="004926BD"/>
    <w:rsid w:val="00495483"/>
    <w:rsid w:val="00495656"/>
    <w:rsid w:val="004965F1"/>
    <w:rsid w:val="00496DF6"/>
    <w:rsid w:val="004A0FB7"/>
    <w:rsid w:val="004A21A1"/>
    <w:rsid w:val="004A405E"/>
    <w:rsid w:val="004A4201"/>
    <w:rsid w:val="004A45D5"/>
    <w:rsid w:val="004A64E5"/>
    <w:rsid w:val="004A7009"/>
    <w:rsid w:val="004B002F"/>
    <w:rsid w:val="004B0444"/>
    <w:rsid w:val="004B0CC9"/>
    <w:rsid w:val="004B1F8B"/>
    <w:rsid w:val="004B2F1F"/>
    <w:rsid w:val="004B2F55"/>
    <w:rsid w:val="004B46D2"/>
    <w:rsid w:val="004B5AD7"/>
    <w:rsid w:val="004B6254"/>
    <w:rsid w:val="004B65F4"/>
    <w:rsid w:val="004B6C48"/>
    <w:rsid w:val="004B712D"/>
    <w:rsid w:val="004C15FD"/>
    <w:rsid w:val="004C3934"/>
    <w:rsid w:val="004C44D8"/>
    <w:rsid w:val="004C4BCC"/>
    <w:rsid w:val="004C5CAB"/>
    <w:rsid w:val="004C6846"/>
    <w:rsid w:val="004C76B9"/>
    <w:rsid w:val="004C7AFE"/>
    <w:rsid w:val="004C7B0A"/>
    <w:rsid w:val="004D0988"/>
    <w:rsid w:val="004D148F"/>
    <w:rsid w:val="004D17D8"/>
    <w:rsid w:val="004D1940"/>
    <w:rsid w:val="004D1FAD"/>
    <w:rsid w:val="004D57E5"/>
    <w:rsid w:val="004D5B80"/>
    <w:rsid w:val="004D625A"/>
    <w:rsid w:val="004E1A6B"/>
    <w:rsid w:val="004E30E3"/>
    <w:rsid w:val="004E356D"/>
    <w:rsid w:val="004E3C83"/>
    <w:rsid w:val="004E4A80"/>
    <w:rsid w:val="004F5974"/>
    <w:rsid w:val="004F73DC"/>
    <w:rsid w:val="004F7700"/>
    <w:rsid w:val="004F7743"/>
    <w:rsid w:val="004F78DD"/>
    <w:rsid w:val="004F7E4F"/>
    <w:rsid w:val="00501DCC"/>
    <w:rsid w:val="00502233"/>
    <w:rsid w:val="00502B66"/>
    <w:rsid w:val="0050314C"/>
    <w:rsid w:val="00505365"/>
    <w:rsid w:val="00505A21"/>
    <w:rsid w:val="00505E5D"/>
    <w:rsid w:val="00506974"/>
    <w:rsid w:val="00507CCC"/>
    <w:rsid w:val="00511AF3"/>
    <w:rsid w:val="00511F06"/>
    <w:rsid w:val="005123EE"/>
    <w:rsid w:val="00513E26"/>
    <w:rsid w:val="00516510"/>
    <w:rsid w:val="00521FDB"/>
    <w:rsid w:val="005220AA"/>
    <w:rsid w:val="00522391"/>
    <w:rsid w:val="00522FFA"/>
    <w:rsid w:val="0052374C"/>
    <w:rsid w:val="0052456D"/>
    <w:rsid w:val="00526A43"/>
    <w:rsid w:val="00530624"/>
    <w:rsid w:val="005309AE"/>
    <w:rsid w:val="00530A4A"/>
    <w:rsid w:val="005315C3"/>
    <w:rsid w:val="005317A4"/>
    <w:rsid w:val="005319C4"/>
    <w:rsid w:val="00531D94"/>
    <w:rsid w:val="00534300"/>
    <w:rsid w:val="005350E5"/>
    <w:rsid w:val="00535728"/>
    <w:rsid w:val="00536C4E"/>
    <w:rsid w:val="00536E30"/>
    <w:rsid w:val="0053764E"/>
    <w:rsid w:val="00537E00"/>
    <w:rsid w:val="00540931"/>
    <w:rsid w:val="00540B66"/>
    <w:rsid w:val="00542D2E"/>
    <w:rsid w:val="00544D32"/>
    <w:rsid w:val="005460D0"/>
    <w:rsid w:val="0054619D"/>
    <w:rsid w:val="005476D7"/>
    <w:rsid w:val="00547970"/>
    <w:rsid w:val="00551529"/>
    <w:rsid w:val="005519FF"/>
    <w:rsid w:val="00551DB9"/>
    <w:rsid w:val="005526BB"/>
    <w:rsid w:val="0055370E"/>
    <w:rsid w:val="005556EC"/>
    <w:rsid w:val="005563FB"/>
    <w:rsid w:val="0055650B"/>
    <w:rsid w:val="005566F7"/>
    <w:rsid w:val="00556863"/>
    <w:rsid w:val="00560C14"/>
    <w:rsid w:val="00560D34"/>
    <w:rsid w:val="00561AF9"/>
    <w:rsid w:val="00562B33"/>
    <w:rsid w:val="00563600"/>
    <w:rsid w:val="00563AF9"/>
    <w:rsid w:val="00565071"/>
    <w:rsid w:val="0056535E"/>
    <w:rsid w:val="00567833"/>
    <w:rsid w:val="0057137D"/>
    <w:rsid w:val="0057212B"/>
    <w:rsid w:val="0057368E"/>
    <w:rsid w:val="005736AF"/>
    <w:rsid w:val="005760E7"/>
    <w:rsid w:val="00577DB9"/>
    <w:rsid w:val="00577FAC"/>
    <w:rsid w:val="005813FD"/>
    <w:rsid w:val="00581E9D"/>
    <w:rsid w:val="00583A37"/>
    <w:rsid w:val="0058435B"/>
    <w:rsid w:val="00584CEE"/>
    <w:rsid w:val="005928A1"/>
    <w:rsid w:val="00594B66"/>
    <w:rsid w:val="00595CFA"/>
    <w:rsid w:val="00595F87"/>
    <w:rsid w:val="005966F2"/>
    <w:rsid w:val="005975F5"/>
    <w:rsid w:val="00597BEF"/>
    <w:rsid w:val="005A0CF7"/>
    <w:rsid w:val="005A2000"/>
    <w:rsid w:val="005A25FA"/>
    <w:rsid w:val="005A2B55"/>
    <w:rsid w:val="005A3CE8"/>
    <w:rsid w:val="005A647C"/>
    <w:rsid w:val="005B08FB"/>
    <w:rsid w:val="005B1752"/>
    <w:rsid w:val="005B243E"/>
    <w:rsid w:val="005B2E76"/>
    <w:rsid w:val="005B3165"/>
    <w:rsid w:val="005B3301"/>
    <w:rsid w:val="005B3CD3"/>
    <w:rsid w:val="005B4152"/>
    <w:rsid w:val="005B44C9"/>
    <w:rsid w:val="005B4607"/>
    <w:rsid w:val="005B5094"/>
    <w:rsid w:val="005B5B35"/>
    <w:rsid w:val="005B7169"/>
    <w:rsid w:val="005C1781"/>
    <w:rsid w:val="005C21ED"/>
    <w:rsid w:val="005C3580"/>
    <w:rsid w:val="005C3C43"/>
    <w:rsid w:val="005C3D07"/>
    <w:rsid w:val="005C4A5B"/>
    <w:rsid w:val="005C56A0"/>
    <w:rsid w:val="005C655C"/>
    <w:rsid w:val="005C7023"/>
    <w:rsid w:val="005C756F"/>
    <w:rsid w:val="005C797F"/>
    <w:rsid w:val="005D0F3B"/>
    <w:rsid w:val="005D13B8"/>
    <w:rsid w:val="005D2852"/>
    <w:rsid w:val="005D3081"/>
    <w:rsid w:val="005D31FD"/>
    <w:rsid w:val="005D681E"/>
    <w:rsid w:val="005D772E"/>
    <w:rsid w:val="005E059C"/>
    <w:rsid w:val="005E1A73"/>
    <w:rsid w:val="005E21A8"/>
    <w:rsid w:val="005E2E3C"/>
    <w:rsid w:val="005E3A2B"/>
    <w:rsid w:val="005E4950"/>
    <w:rsid w:val="005E700D"/>
    <w:rsid w:val="005F0B9E"/>
    <w:rsid w:val="005F123A"/>
    <w:rsid w:val="005F57E0"/>
    <w:rsid w:val="005F6002"/>
    <w:rsid w:val="00600276"/>
    <w:rsid w:val="0060227E"/>
    <w:rsid w:val="0060282C"/>
    <w:rsid w:val="00603874"/>
    <w:rsid w:val="0060557D"/>
    <w:rsid w:val="00605E02"/>
    <w:rsid w:val="0060796E"/>
    <w:rsid w:val="00611DDF"/>
    <w:rsid w:val="0061388A"/>
    <w:rsid w:val="00613B05"/>
    <w:rsid w:val="006145C4"/>
    <w:rsid w:val="00615D4D"/>
    <w:rsid w:val="006166D3"/>
    <w:rsid w:val="00617E08"/>
    <w:rsid w:val="00617E7F"/>
    <w:rsid w:val="00620B10"/>
    <w:rsid w:val="00620C53"/>
    <w:rsid w:val="00621B7E"/>
    <w:rsid w:val="0062252E"/>
    <w:rsid w:val="006238D2"/>
    <w:rsid w:val="00623BE5"/>
    <w:rsid w:val="0062403D"/>
    <w:rsid w:val="0062404F"/>
    <w:rsid w:val="006254C1"/>
    <w:rsid w:val="00626F4F"/>
    <w:rsid w:val="0063010F"/>
    <w:rsid w:val="00630ECD"/>
    <w:rsid w:val="00631277"/>
    <w:rsid w:val="00631426"/>
    <w:rsid w:val="0063173F"/>
    <w:rsid w:val="00632445"/>
    <w:rsid w:val="00632C70"/>
    <w:rsid w:val="006330FF"/>
    <w:rsid w:val="006340FA"/>
    <w:rsid w:val="00636747"/>
    <w:rsid w:val="006379EA"/>
    <w:rsid w:val="0064417F"/>
    <w:rsid w:val="006473E2"/>
    <w:rsid w:val="00647ADC"/>
    <w:rsid w:val="00647F01"/>
    <w:rsid w:val="006502ED"/>
    <w:rsid w:val="006512DD"/>
    <w:rsid w:val="006538AE"/>
    <w:rsid w:val="00653C58"/>
    <w:rsid w:val="00655200"/>
    <w:rsid w:val="006553EC"/>
    <w:rsid w:val="006578AE"/>
    <w:rsid w:val="00657EDA"/>
    <w:rsid w:val="00660183"/>
    <w:rsid w:val="00662173"/>
    <w:rsid w:val="00665F40"/>
    <w:rsid w:val="00666A5E"/>
    <w:rsid w:val="006675D7"/>
    <w:rsid w:val="00671310"/>
    <w:rsid w:val="00671BE5"/>
    <w:rsid w:val="006725C8"/>
    <w:rsid w:val="00673CFE"/>
    <w:rsid w:val="00676790"/>
    <w:rsid w:val="00676CC5"/>
    <w:rsid w:val="00681863"/>
    <w:rsid w:val="006825CD"/>
    <w:rsid w:val="00682606"/>
    <w:rsid w:val="00685B30"/>
    <w:rsid w:val="00686D82"/>
    <w:rsid w:val="0068702D"/>
    <w:rsid w:val="0068729C"/>
    <w:rsid w:val="0068730D"/>
    <w:rsid w:val="006877D3"/>
    <w:rsid w:val="00690147"/>
    <w:rsid w:val="006902B4"/>
    <w:rsid w:val="00691816"/>
    <w:rsid w:val="00693496"/>
    <w:rsid w:val="0069370C"/>
    <w:rsid w:val="00695063"/>
    <w:rsid w:val="0069592D"/>
    <w:rsid w:val="006A10A4"/>
    <w:rsid w:val="006A24E8"/>
    <w:rsid w:val="006A2822"/>
    <w:rsid w:val="006A2930"/>
    <w:rsid w:val="006A3308"/>
    <w:rsid w:val="006A396F"/>
    <w:rsid w:val="006A52E9"/>
    <w:rsid w:val="006A5EE7"/>
    <w:rsid w:val="006A63DE"/>
    <w:rsid w:val="006A6CD1"/>
    <w:rsid w:val="006A7699"/>
    <w:rsid w:val="006B1965"/>
    <w:rsid w:val="006B1AFD"/>
    <w:rsid w:val="006B2FCC"/>
    <w:rsid w:val="006B32A8"/>
    <w:rsid w:val="006B4B90"/>
    <w:rsid w:val="006B4EB1"/>
    <w:rsid w:val="006B556A"/>
    <w:rsid w:val="006B585B"/>
    <w:rsid w:val="006B68C8"/>
    <w:rsid w:val="006B7911"/>
    <w:rsid w:val="006B7DAE"/>
    <w:rsid w:val="006C1717"/>
    <w:rsid w:val="006C1EE4"/>
    <w:rsid w:val="006C2F36"/>
    <w:rsid w:val="006C3AA6"/>
    <w:rsid w:val="006C5F51"/>
    <w:rsid w:val="006D09C9"/>
    <w:rsid w:val="006D1432"/>
    <w:rsid w:val="006D1AB6"/>
    <w:rsid w:val="006D1BAB"/>
    <w:rsid w:val="006D3DF3"/>
    <w:rsid w:val="006D49DD"/>
    <w:rsid w:val="006D5B35"/>
    <w:rsid w:val="006D706C"/>
    <w:rsid w:val="006E04D3"/>
    <w:rsid w:val="006E0AA6"/>
    <w:rsid w:val="006E1D9F"/>
    <w:rsid w:val="006E21B0"/>
    <w:rsid w:val="006E300F"/>
    <w:rsid w:val="006E44F2"/>
    <w:rsid w:val="006E4BFF"/>
    <w:rsid w:val="006E515A"/>
    <w:rsid w:val="006E754F"/>
    <w:rsid w:val="006F263F"/>
    <w:rsid w:val="006F268B"/>
    <w:rsid w:val="006F2B81"/>
    <w:rsid w:val="006F3D24"/>
    <w:rsid w:val="006F437C"/>
    <w:rsid w:val="006F477E"/>
    <w:rsid w:val="006F512E"/>
    <w:rsid w:val="006F589E"/>
    <w:rsid w:val="006F6FC5"/>
    <w:rsid w:val="006F70A7"/>
    <w:rsid w:val="006F7F54"/>
    <w:rsid w:val="0070040E"/>
    <w:rsid w:val="0070192A"/>
    <w:rsid w:val="0070317D"/>
    <w:rsid w:val="00705ADA"/>
    <w:rsid w:val="007070C9"/>
    <w:rsid w:val="007102D9"/>
    <w:rsid w:val="00711BC3"/>
    <w:rsid w:val="00712592"/>
    <w:rsid w:val="00712E95"/>
    <w:rsid w:val="00712F65"/>
    <w:rsid w:val="007134D2"/>
    <w:rsid w:val="007136A7"/>
    <w:rsid w:val="00714C8E"/>
    <w:rsid w:val="00716913"/>
    <w:rsid w:val="00716C2D"/>
    <w:rsid w:val="007170B4"/>
    <w:rsid w:val="007207A8"/>
    <w:rsid w:val="00722751"/>
    <w:rsid w:val="00722C62"/>
    <w:rsid w:val="00723693"/>
    <w:rsid w:val="00723B03"/>
    <w:rsid w:val="00723ED6"/>
    <w:rsid w:val="00726B9B"/>
    <w:rsid w:val="00726D7F"/>
    <w:rsid w:val="007312CF"/>
    <w:rsid w:val="007317BF"/>
    <w:rsid w:val="007328D4"/>
    <w:rsid w:val="00733AD9"/>
    <w:rsid w:val="00733B4D"/>
    <w:rsid w:val="007346C8"/>
    <w:rsid w:val="00734B51"/>
    <w:rsid w:val="00737CC0"/>
    <w:rsid w:val="007401B0"/>
    <w:rsid w:val="00740E71"/>
    <w:rsid w:val="0074477E"/>
    <w:rsid w:val="00744990"/>
    <w:rsid w:val="007453B9"/>
    <w:rsid w:val="0074553E"/>
    <w:rsid w:val="00746C95"/>
    <w:rsid w:val="007504EF"/>
    <w:rsid w:val="00750DF0"/>
    <w:rsid w:val="007523C5"/>
    <w:rsid w:val="00752FA9"/>
    <w:rsid w:val="00754DEA"/>
    <w:rsid w:val="0075616A"/>
    <w:rsid w:val="00756C48"/>
    <w:rsid w:val="00756DA0"/>
    <w:rsid w:val="00757AD6"/>
    <w:rsid w:val="00757B7F"/>
    <w:rsid w:val="00760552"/>
    <w:rsid w:val="00760B05"/>
    <w:rsid w:val="0076108C"/>
    <w:rsid w:val="00761931"/>
    <w:rsid w:val="00762000"/>
    <w:rsid w:val="00762DFF"/>
    <w:rsid w:val="00764FE6"/>
    <w:rsid w:val="00770D66"/>
    <w:rsid w:val="00771E04"/>
    <w:rsid w:val="0077272F"/>
    <w:rsid w:val="00776DB4"/>
    <w:rsid w:val="00777D73"/>
    <w:rsid w:val="007843A9"/>
    <w:rsid w:val="00784963"/>
    <w:rsid w:val="0078707C"/>
    <w:rsid w:val="00787A43"/>
    <w:rsid w:val="00787EE0"/>
    <w:rsid w:val="00790095"/>
    <w:rsid w:val="00790A9B"/>
    <w:rsid w:val="00790AD9"/>
    <w:rsid w:val="0079180D"/>
    <w:rsid w:val="00791945"/>
    <w:rsid w:val="00792715"/>
    <w:rsid w:val="00793287"/>
    <w:rsid w:val="007939F6"/>
    <w:rsid w:val="007941C8"/>
    <w:rsid w:val="007947F1"/>
    <w:rsid w:val="00794B9E"/>
    <w:rsid w:val="007957FF"/>
    <w:rsid w:val="00795B28"/>
    <w:rsid w:val="007967BC"/>
    <w:rsid w:val="00796895"/>
    <w:rsid w:val="007A0026"/>
    <w:rsid w:val="007A052B"/>
    <w:rsid w:val="007A053E"/>
    <w:rsid w:val="007A2540"/>
    <w:rsid w:val="007A3FFA"/>
    <w:rsid w:val="007A4D35"/>
    <w:rsid w:val="007A4EDA"/>
    <w:rsid w:val="007A6D46"/>
    <w:rsid w:val="007A7F89"/>
    <w:rsid w:val="007B0AA6"/>
    <w:rsid w:val="007B2332"/>
    <w:rsid w:val="007B3088"/>
    <w:rsid w:val="007B3D04"/>
    <w:rsid w:val="007B6942"/>
    <w:rsid w:val="007C111A"/>
    <w:rsid w:val="007C13C0"/>
    <w:rsid w:val="007C18FA"/>
    <w:rsid w:val="007C1C65"/>
    <w:rsid w:val="007C23EB"/>
    <w:rsid w:val="007C38F2"/>
    <w:rsid w:val="007C3CD6"/>
    <w:rsid w:val="007C46BE"/>
    <w:rsid w:val="007C4E60"/>
    <w:rsid w:val="007C51D1"/>
    <w:rsid w:val="007D1B5F"/>
    <w:rsid w:val="007D20C7"/>
    <w:rsid w:val="007D270F"/>
    <w:rsid w:val="007D45F3"/>
    <w:rsid w:val="007D470B"/>
    <w:rsid w:val="007D4C2E"/>
    <w:rsid w:val="007D643E"/>
    <w:rsid w:val="007E0C00"/>
    <w:rsid w:val="007E1101"/>
    <w:rsid w:val="007E120E"/>
    <w:rsid w:val="007E33FD"/>
    <w:rsid w:val="007E34DF"/>
    <w:rsid w:val="007E7F59"/>
    <w:rsid w:val="007F1B44"/>
    <w:rsid w:val="007F2D23"/>
    <w:rsid w:val="007F30B6"/>
    <w:rsid w:val="007F3351"/>
    <w:rsid w:val="007F45A7"/>
    <w:rsid w:val="007F4DA3"/>
    <w:rsid w:val="007F4F33"/>
    <w:rsid w:val="007F5BB5"/>
    <w:rsid w:val="00800E79"/>
    <w:rsid w:val="008014A0"/>
    <w:rsid w:val="00801780"/>
    <w:rsid w:val="008028E4"/>
    <w:rsid w:val="00803936"/>
    <w:rsid w:val="0080406E"/>
    <w:rsid w:val="0080694F"/>
    <w:rsid w:val="0081007D"/>
    <w:rsid w:val="0081144A"/>
    <w:rsid w:val="00813678"/>
    <w:rsid w:val="00815FF8"/>
    <w:rsid w:val="0081616B"/>
    <w:rsid w:val="008168A2"/>
    <w:rsid w:val="00816E41"/>
    <w:rsid w:val="008200E3"/>
    <w:rsid w:val="008212F7"/>
    <w:rsid w:val="008214D2"/>
    <w:rsid w:val="00821719"/>
    <w:rsid w:val="00821CFF"/>
    <w:rsid w:val="008228D9"/>
    <w:rsid w:val="008229D1"/>
    <w:rsid w:val="00822B8A"/>
    <w:rsid w:val="00823BC9"/>
    <w:rsid w:val="00823D7C"/>
    <w:rsid w:val="00823F57"/>
    <w:rsid w:val="00824AA0"/>
    <w:rsid w:val="00825C60"/>
    <w:rsid w:val="0082643D"/>
    <w:rsid w:val="00826550"/>
    <w:rsid w:val="008276D4"/>
    <w:rsid w:val="00827DD6"/>
    <w:rsid w:val="00830938"/>
    <w:rsid w:val="00830C90"/>
    <w:rsid w:val="00830CA3"/>
    <w:rsid w:val="00831090"/>
    <w:rsid w:val="00831D2A"/>
    <w:rsid w:val="0083290E"/>
    <w:rsid w:val="008330D9"/>
    <w:rsid w:val="0083408A"/>
    <w:rsid w:val="008350B2"/>
    <w:rsid w:val="0083599D"/>
    <w:rsid w:val="00835E39"/>
    <w:rsid w:val="0083649D"/>
    <w:rsid w:val="00836AA5"/>
    <w:rsid w:val="00837CB1"/>
    <w:rsid w:val="00840781"/>
    <w:rsid w:val="00840CBF"/>
    <w:rsid w:val="00843CFD"/>
    <w:rsid w:val="00844D6A"/>
    <w:rsid w:val="00844DA9"/>
    <w:rsid w:val="00845634"/>
    <w:rsid w:val="00847BC4"/>
    <w:rsid w:val="008509B1"/>
    <w:rsid w:val="00851D8D"/>
    <w:rsid w:val="00852319"/>
    <w:rsid w:val="0085415A"/>
    <w:rsid w:val="008554E3"/>
    <w:rsid w:val="00855F2D"/>
    <w:rsid w:val="00856C7E"/>
    <w:rsid w:val="00856E97"/>
    <w:rsid w:val="00856F70"/>
    <w:rsid w:val="008573D2"/>
    <w:rsid w:val="008573F5"/>
    <w:rsid w:val="00860FBF"/>
    <w:rsid w:val="0086188D"/>
    <w:rsid w:val="008626CB"/>
    <w:rsid w:val="0086286C"/>
    <w:rsid w:val="00863078"/>
    <w:rsid w:val="00865999"/>
    <w:rsid w:val="008667B5"/>
    <w:rsid w:val="00867D04"/>
    <w:rsid w:val="00870660"/>
    <w:rsid w:val="0087193A"/>
    <w:rsid w:val="008724BA"/>
    <w:rsid w:val="00872EAC"/>
    <w:rsid w:val="008744B8"/>
    <w:rsid w:val="00875C3C"/>
    <w:rsid w:val="008805E7"/>
    <w:rsid w:val="00883375"/>
    <w:rsid w:val="008838F1"/>
    <w:rsid w:val="00883A1F"/>
    <w:rsid w:val="008842D6"/>
    <w:rsid w:val="00891362"/>
    <w:rsid w:val="00891E37"/>
    <w:rsid w:val="008924A7"/>
    <w:rsid w:val="008934BB"/>
    <w:rsid w:val="008936AD"/>
    <w:rsid w:val="00893CF7"/>
    <w:rsid w:val="0089493F"/>
    <w:rsid w:val="0089546A"/>
    <w:rsid w:val="0089568C"/>
    <w:rsid w:val="00896C6D"/>
    <w:rsid w:val="00897BF5"/>
    <w:rsid w:val="008A055E"/>
    <w:rsid w:val="008A072E"/>
    <w:rsid w:val="008A2975"/>
    <w:rsid w:val="008A2DF0"/>
    <w:rsid w:val="008A3B78"/>
    <w:rsid w:val="008A3F63"/>
    <w:rsid w:val="008A44DB"/>
    <w:rsid w:val="008A5584"/>
    <w:rsid w:val="008A6BEC"/>
    <w:rsid w:val="008A6EB6"/>
    <w:rsid w:val="008B0517"/>
    <w:rsid w:val="008B18E4"/>
    <w:rsid w:val="008B2A82"/>
    <w:rsid w:val="008B5DA1"/>
    <w:rsid w:val="008B6BA1"/>
    <w:rsid w:val="008B71DD"/>
    <w:rsid w:val="008C0F5D"/>
    <w:rsid w:val="008C2AD5"/>
    <w:rsid w:val="008C3B6F"/>
    <w:rsid w:val="008C3CAF"/>
    <w:rsid w:val="008C443F"/>
    <w:rsid w:val="008C4817"/>
    <w:rsid w:val="008C5BBA"/>
    <w:rsid w:val="008C5F0E"/>
    <w:rsid w:val="008C62F3"/>
    <w:rsid w:val="008C648C"/>
    <w:rsid w:val="008C64AD"/>
    <w:rsid w:val="008C73B6"/>
    <w:rsid w:val="008D0B3C"/>
    <w:rsid w:val="008D2091"/>
    <w:rsid w:val="008D29CF"/>
    <w:rsid w:val="008D3C64"/>
    <w:rsid w:val="008D3D68"/>
    <w:rsid w:val="008D59E0"/>
    <w:rsid w:val="008D5A52"/>
    <w:rsid w:val="008D7847"/>
    <w:rsid w:val="008D79D4"/>
    <w:rsid w:val="008E02E3"/>
    <w:rsid w:val="008E0897"/>
    <w:rsid w:val="008E0B3C"/>
    <w:rsid w:val="008E0C50"/>
    <w:rsid w:val="008E1542"/>
    <w:rsid w:val="008E2D31"/>
    <w:rsid w:val="008E34F1"/>
    <w:rsid w:val="008E4B9B"/>
    <w:rsid w:val="008E59E8"/>
    <w:rsid w:val="008E6732"/>
    <w:rsid w:val="008E6D70"/>
    <w:rsid w:val="008E6F77"/>
    <w:rsid w:val="008E730C"/>
    <w:rsid w:val="008F0096"/>
    <w:rsid w:val="008F02F3"/>
    <w:rsid w:val="008F2BA4"/>
    <w:rsid w:val="008F45A3"/>
    <w:rsid w:val="008F47D4"/>
    <w:rsid w:val="008F617E"/>
    <w:rsid w:val="008F6438"/>
    <w:rsid w:val="008F69AA"/>
    <w:rsid w:val="008F6E8F"/>
    <w:rsid w:val="008F7561"/>
    <w:rsid w:val="00902172"/>
    <w:rsid w:val="00902EAC"/>
    <w:rsid w:val="00903A36"/>
    <w:rsid w:val="00903BF1"/>
    <w:rsid w:val="00906928"/>
    <w:rsid w:val="00907899"/>
    <w:rsid w:val="009100D0"/>
    <w:rsid w:val="00910B0F"/>
    <w:rsid w:val="009110D7"/>
    <w:rsid w:val="009111C8"/>
    <w:rsid w:val="00911350"/>
    <w:rsid w:val="0091138E"/>
    <w:rsid w:val="009117B1"/>
    <w:rsid w:val="009126FE"/>
    <w:rsid w:val="009131B7"/>
    <w:rsid w:val="00913390"/>
    <w:rsid w:val="00913D8A"/>
    <w:rsid w:val="0091412B"/>
    <w:rsid w:val="00916115"/>
    <w:rsid w:val="00916BDE"/>
    <w:rsid w:val="00916BF4"/>
    <w:rsid w:val="00916C82"/>
    <w:rsid w:val="0091727A"/>
    <w:rsid w:val="0092034A"/>
    <w:rsid w:val="009205DF"/>
    <w:rsid w:val="00920AEF"/>
    <w:rsid w:val="009219DD"/>
    <w:rsid w:val="00922538"/>
    <w:rsid w:val="00922582"/>
    <w:rsid w:val="00922D15"/>
    <w:rsid w:val="00926B4D"/>
    <w:rsid w:val="00926BDE"/>
    <w:rsid w:val="00931152"/>
    <w:rsid w:val="00931551"/>
    <w:rsid w:val="00931F38"/>
    <w:rsid w:val="009327A2"/>
    <w:rsid w:val="0093413C"/>
    <w:rsid w:val="0093577B"/>
    <w:rsid w:val="0093627A"/>
    <w:rsid w:val="009371D9"/>
    <w:rsid w:val="00937AAD"/>
    <w:rsid w:val="0094214A"/>
    <w:rsid w:val="0094299A"/>
    <w:rsid w:val="009433BC"/>
    <w:rsid w:val="00944113"/>
    <w:rsid w:val="00944595"/>
    <w:rsid w:val="00944902"/>
    <w:rsid w:val="00944B40"/>
    <w:rsid w:val="009475D3"/>
    <w:rsid w:val="00953468"/>
    <w:rsid w:val="009540F7"/>
    <w:rsid w:val="00954A53"/>
    <w:rsid w:val="00957B24"/>
    <w:rsid w:val="009610C2"/>
    <w:rsid w:val="0096368E"/>
    <w:rsid w:val="00963927"/>
    <w:rsid w:val="009639D9"/>
    <w:rsid w:val="00965B14"/>
    <w:rsid w:val="00966278"/>
    <w:rsid w:val="009664AB"/>
    <w:rsid w:val="00967C20"/>
    <w:rsid w:val="00970172"/>
    <w:rsid w:val="0097034E"/>
    <w:rsid w:val="00971515"/>
    <w:rsid w:val="00971BC9"/>
    <w:rsid w:val="00971FDF"/>
    <w:rsid w:val="0097419A"/>
    <w:rsid w:val="00976225"/>
    <w:rsid w:val="00977C03"/>
    <w:rsid w:val="009811A3"/>
    <w:rsid w:val="0098124B"/>
    <w:rsid w:val="00983059"/>
    <w:rsid w:val="0098392C"/>
    <w:rsid w:val="00985601"/>
    <w:rsid w:val="0098571C"/>
    <w:rsid w:val="00990354"/>
    <w:rsid w:val="009903B7"/>
    <w:rsid w:val="00991EE8"/>
    <w:rsid w:val="00992300"/>
    <w:rsid w:val="00992D17"/>
    <w:rsid w:val="00993D84"/>
    <w:rsid w:val="00994B2A"/>
    <w:rsid w:val="009959A5"/>
    <w:rsid w:val="009A06C0"/>
    <w:rsid w:val="009A27E2"/>
    <w:rsid w:val="009A56BE"/>
    <w:rsid w:val="009A6A57"/>
    <w:rsid w:val="009A72D8"/>
    <w:rsid w:val="009B008B"/>
    <w:rsid w:val="009B09FF"/>
    <w:rsid w:val="009B2502"/>
    <w:rsid w:val="009B2962"/>
    <w:rsid w:val="009B3463"/>
    <w:rsid w:val="009B66F0"/>
    <w:rsid w:val="009B6AE3"/>
    <w:rsid w:val="009B6EA4"/>
    <w:rsid w:val="009B7D7D"/>
    <w:rsid w:val="009C004A"/>
    <w:rsid w:val="009C0D75"/>
    <w:rsid w:val="009C133D"/>
    <w:rsid w:val="009C1B9E"/>
    <w:rsid w:val="009C2077"/>
    <w:rsid w:val="009C3DAB"/>
    <w:rsid w:val="009C48AF"/>
    <w:rsid w:val="009C4A3A"/>
    <w:rsid w:val="009C722D"/>
    <w:rsid w:val="009C78F5"/>
    <w:rsid w:val="009D027D"/>
    <w:rsid w:val="009D0976"/>
    <w:rsid w:val="009D1A28"/>
    <w:rsid w:val="009D3CF5"/>
    <w:rsid w:val="009D3D17"/>
    <w:rsid w:val="009D3EB8"/>
    <w:rsid w:val="009D4BB3"/>
    <w:rsid w:val="009D67BA"/>
    <w:rsid w:val="009E22D5"/>
    <w:rsid w:val="009E2646"/>
    <w:rsid w:val="009E2A61"/>
    <w:rsid w:val="009E361F"/>
    <w:rsid w:val="009E54E9"/>
    <w:rsid w:val="009E5C00"/>
    <w:rsid w:val="009E6C22"/>
    <w:rsid w:val="009E7396"/>
    <w:rsid w:val="009E77EF"/>
    <w:rsid w:val="009F3CBF"/>
    <w:rsid w:val="009F48A0"/>
    <w:rsid w:val="009F5885"/>
    <w:rsid w:val="009F65A2"/>
    <w:rsid w:val="009F6F31"/>
    <w:rsid w:val="009F743B"/>
    <w:rsid w:val="009F7D5D"/>
    <w:rsid w:val="00A04620"/>
    <w:rsid w:val="00A048F4"/>
    <w:rsid w:val="00A05238"/>
    <w:rsid w:val="00A0653A"/>
    <w:rsid w:val="00A06CC4"/>
    <w:rsid w:val="00A06FC8"/>
    <w:rsid w:val="00A07FB2"/>
    <w:rsid w:val="00A11E7A"/>
    <w:rsid w:val="00A131FC"/>
    <w:rsid w:val="00A133D9"/>
    <w:rsid w:val="00A21417"/>
    <w:rsid w:val="00A22858"/>
    <w:rsid w:val="00A23179"/>
    <w:rsid w:val="00A26D5F"/>
    <w:rsid w:val="00A27FDE"/>
    <w:rsid w:val="00A302A4"/>
    <w:rsid w:val="00A30369"/>
    <w:rsid w:val="00A30E79"/>
    <w:rsid w:val="00A32766"/>
    <w:rsid w:val="00A32ED8"/>
    <w:rsid w:val="00A33B92"/>
    <w:rsid w:val="00A33F5F"/>
    <w:rsid w:val="00A3467D"/>
    <w:rsid w:val="00A3494E"/>
    <w:rsid w:val="00A35127"/>
    <w:rsid w:val="00A37586"/>
    <w:rsid w:val="00A37B88"/>
    <w:rsid w:val="00A40094"/>
    <w:rsid w:val="00A41015"/>
    <w:rsid w:val="00A4179F"/>
    <w:rsid w:val="00A41952"/>
    <w:rsid w:val="00A41C1E"/>
    <w:rsid w:val="00A42A46"/>
    <w:rsid w:val="00A42E96"/>
    <w:rsid w:val="00A44579"/>
    <w:rsid w:val="00A45C99"/>
    <w:rsid w:val="00A523DB"/>
    <w:rsid w:val="00A559B8"/>
    <w:rsid w:val="00A55CD6"/>
    <w:rsid w:val="00A57D0C"/>
    <w:rsid w:val="00A60CC3"/>
    <w:rsid w:val="00A62783"/>
    <w:rsid w:val="00A6373D"/>
    <w:rsid w:val="00A63FC1"/>
    <w:rsid w:val="00A705FA"/>
    <w:rsid w:val="00A70C46"/>
    <w:rsid w:val="00A711B2"/>
    <w:rsid w:val="00A71BE9"/>
    <w:rsid w:val="00A7343A"/>
    <w:rsid w:val="00A73C8F"/>
    <w:rsid w:val="00A75C02"/>
    <w:rsid w:val="00A75D1C"/>
    <w:rsid w:val="00A75F08"/>
    <w:rsid w:val="00A76697"/>
    <w:rsid w:val="00A7751C"/>
    <w:rsid w:val="00A80150"/>
    <w:rsid w:val="00A80401"/>
    <w:rsid w:val="00A8040F"/>
    <w:rsid w:val="00A809E1"/>
    <w:rsid w:val="00A81064"/>
    <w:rsid w:val="00A815F8"/>
    <w:rsid w:val="00A819FC"/>
    <w:rsid w:val="00A84199"/>
    <w:rsid w:val="00A872FA"/>
    <w:rsid w:val="00A87411"/>
    <w:rsid w:val="00A91748"/>
    <w:rsid w:val="00A91F33"/>
    <w:rsid w:val="00A93BD9"/>
    <w:rsid w:val="00A93D98"/>
    <w:rsid w:val="00A94DDC"/>
    <w:rsid w:val="00A9659B"/>
    <w:rsid w:val="00A96A08"/>
    <w:rsid w:val="00A96A69"/>
    <w:rsid w:val="00A96EAE"/>
    <w:rsid w:val="00AA0825"/>
    <w:rsid w:val="00AA15CE"/>
    <w:rsid w:val="00AA17A8"/>
    <w:rsid w:val="00AA21F9"/>
    <w:rsid w:val="00AA4738"/>
    <w:rsid w:val="00AA4AC4"/>
    <w:rsid w:val="00AA5450"/>
    <w:rsid w:val="00AA5E37"/>
    <w:rsid w:val="00AA6233"/>
    <w:rsid w:val="00AA73E8"/>
    <w:rsid w:val="00AB0A96"/>
    <w:rsid w:val="00AB1917"/>
    <w:rsid w:val="00AB2A5E"/>
    <w:rsid w:val="00AC0D46"/>
    <w:rsid w:val="00AC1792"/>
    <w:rsid w:val="00AC251F"/>
    <w:rsid w:val="00AC2D59"/>
    <w:rsid w:val="00AC3C5A"/>
    <w:rsid w:val="00AC5507"/>
    <w:rsid w:val="00AC69EA"/>
    <w:rsid w:val="00AC6C14"/>
    <w:rsid w:val="00AC6C17"/>
    <w:rsid w:val="00AD13DF"/>
    <w:rsid w:val="00AD1C54"/>
    <w:rsid w:val="00AD1E33"/>
    <w:rsid w:val="00AD20DA"/>
    <w:rsid w:val="00AD2E34"/>
    <w:rsid w:val="00AD2E92"/>
    <w:rsid w:val="00AD5A9E"/>
    <w:rsid w:val="00AD6B90"/>
    <w:rsid w:val="00AD74EB"/>
    <w:rsid w:val="00AD7C7E"/>
    <w:rsid w:val="00AE0EA0"/>
    <w:rsid w:val="00AE1592"/>
    <w:rsid w:val="00AE1AC7"/>
    <w:rsid w:val="00AE1AF6"/>
    <w:rsid w:val="00AE34F0"/>
    <w:rsid w:val="00AE3838"/>
    <w:rsid w:val="00AE38D0"/>
    <w:rsid w:val="00AE39FF"/>
    <w:rsid w:val="00AE4981"/>
    <w:rsid w:val="00AE5637"/>
    <w:rsid w:val="00AE5BB1"/>
    <w:rsid w:val="00AE69CE"/>
    <w:rsid w:val="00AE7D37"/>
    <w:rsid w:val="00AF10CE"/>
    <w:rsid w:val="00AF1434"/>
    <w:rsid w:val="00AF1836"/>
    <w:rsid w:val="00AF3C51"/>
    <w:rsid w:val="00AF3F99"/>
    <w:rsid w:val="00AF44CC"/>
    <w:rsid w:val="00AF5D67"/>
    <w:rsid w:val="00B01C08"/>
    <w:rsid w:val="00B02EFE"/>
    <w:rsid w:val="00B036BD"/>
    <w:rsid w:val="00B03D12"/>
    <w:rsid w:val="00B04212"/>
    <w:rsid w:val="00B05FCC"/>
    <w:rsid w:val="00B106BC"/>
    <w:rsid w:val="00B10C42"/>
    <w:rsid w:val="00B10F94"/>
    <w:rsid w:val="00B1498E"/>
    <w:rsid w:val="00B1532E"/>
    <w:rsid w:val="00B15334"/>
    <w:rsid w:val="00B15C48"/>
    <w:rsid w:val="00B1684F"/>
    <w:rsid w:val="00B16D15"/>
    <w:rsid w:val="00B179DD"/>
    <w:rsid w:val="00B20815"/>
    <w:rsid w:val="00B20AA7"/>
    <w:rsid w:val="00B20DB6"/>
    <w:rsid w:val="00B20EA2"/>
    <w:rsid w:val="00B21F42"/>
    <w:rsid w:val="00B23D37"/>
    <w:rsid w:val="00B2666B"/>
    <w:rsid w:val="00B27D09"/>
    <w:rsid w:val="00B30958"/>
    <w:rsid w:val="00B30BEE"/>
    <w:rsid w:val="00B318C5"/>
    <w:rsid w:val="00B31DB5"/>
    <w:rsid w:val="00B328F3"/>
    <w:rsid w:val="00B32922"/>
    <w:rsid w:val="00B34340"/>
    <w:rsid w:val="00B34573"/>
    <w:rsid w:val="00B34C36"/>
    <w:rsid w:val="00B4065B"/>
    <w:rsid w:val="00B41C56"/>
    <w:rsid w:val="00B42596"/>
    <w:rsid w:val="00B43AB5"/>
    <w:rsid w:val="00B4422A"/>
    <w:rsid w:val="00B44591"/>
    <w:rsid w:val="00B46C5C"/>
    <w:rsid w:val="00B47457"/>
    <w:rsid w:val="00B50071"/>
    <w:rsid w:val="00B51FF6"/>
    <w:rsid w:val="00B5202C"/>
    <w:rsid w:val="00B52241"/>
    <w:rsid w:val="00B52C10"/>
    <w:rsid w:val="00B52D60"/>
    <w:rsid w:val="00B535B9"/>
    <w:rsid w:val="00B557C3"/>
    <w:rsid w:val="00B56749"/>
    <w:rsid w:val="00B567A4"/>
    <w:rsid w:val="00B56CB7"/>
    <w:rsid w:val="00B57312"/>
    <w:rsid w:val="00B575DB"/>
    <w:rsid w:val="00B578F0"/>
    <w:rsid w:val="00B579D0"/>
    <w:rsid w:val="00B60D70"/>
    <w:rsid w:val="00B61023"/>
    <w:rsid w:val="00B61468"/>
    <w:rsid w:val="00B617D2"/>
    <w:rsid w:val="00B61F6C"/>
    <w:rsid w:val="00B63265"/>
    <w:rsid w:val="00B6530F"/>
    <w:rsid w:val="00B65529"/>
    <w:rsid w:val="00B678E7"/>
    <w:rsid w:val="00B679F1"/>
    <w:rsid w:val="00B70309"/>
    <w:rsid w:val="00B7060A"/>
    <w:rsid w:val="00B70646"/>
    <w:rsid w:val="00B71384"/>
    <w:rsid w:val="00B730EF"/>
    <w:rsid w:val="00B75739"/>
    <w:rsid w:val="00B76BF0"/>
    <w:rsid w:val="00B77D0F"/>
    <w:rsid w:val="00B77D9C"/>
    <w:rsid w:val="00B81201"/>
    <w:rsid w:val="00B815A2"/>
    <w:rsid w:val="00B8188F"/>
    <w:rsid w:val="00B81B8B"/>
    <w:rsid w:val="00B820EC"/>
    <w:rsid w:val="00B84778"/>
    <w:rsid w:val="00B84EB9"/>
    <w:rsid w:val="00B84FCC"/>
    <w:rsid w:val="00B86583"/>
    <w:rsid w:val="00B86BE5"/>
    <w:rsid w:val="00B9073C"/>
    <w:rsid w:val="00B91CA2"/>
    <w:rsid w:val="00B92045"/>
    <w:rsid w:val="00B94101"/>
    <w:rsid w:val="00B94A48"/>
    <w:rsid w:val="00B95030"/>
    <w:rsid w:val="00B9786E"/>
    <w:rsid w:val="00B97F0A"/>
    <w:rsid w:val="00BA09DE"/>
    <w:rsid w:val="00BA1D7F"/>
    <w:rsid w:val="00BA2BD9"/>
    <w:rsid w:val="00BA3898"/>
    <w:rsid w:val="00BA4B21"/>
    <w:rsid w:val="00BA5E11"/>
    <w:rsid w:val="00BA6836"/>
    <w:rsid w:val="00BA6CF1"/>
    <w:rsid w:val="00BB031F"/>
    <w:rsid w:val="00BB07C0"/>
    <w:rsid w:val="00BB2A5B"/>
    <w:rsid w:val="00BB56D8"/>
    <w:rsid w:val="00BB6A47"/>
    <w:rsid w:val="00BC269D"/>
    <w:rsid w:val="00BC7081"/>
    <w:rsid w:val="00BC7E8D"/>
    <w:rsid w:val="00BD0B9D"/>
    <w:rsid w:val="00BD0E0D"/>
    <w:rsid w:val="00BD1414"/>
    <w:rsid w:val="00BD268F"/>
    <w:rsid w:val="00BD32F7"/>
    <w:rsid w:val="00BD3567"/>
    <w:rsid w:val="00BD3DED"/>
    <w:rsid w:val="00BD497E"/>
    <w:rsid w:val="00BD5DDD"/>
    <w:rsid w:val="00BD6ACB"/>
    <w:rsid w:val="00BD791B"/>
    <w:rsid w:val="00BE14F9"/>
    <w:rsid w:val="00BE4D46"/>
    <w:rsid w:val="00BE5A2E"/>
    <w:rsid w:val="00BE5AB5"/>
    <w:rsid w:val="00BE72BF"/>
    <w:rsid w:val="00BE7D7E"/>
    <w:rsid w:val="00BF04D2"/>
    <w:rsid w:val="00BF0668"/>
    <w:rsid w:val="00BF0AB0"/>
    <w:rsid w:val="00BF223C"/>
    <w:rsid w:val="00BF293A"/>
    <w:rsid w:val="00BF47B8"/>
    <w:rsid w:val="00BF5D27"/>
    <w:rsid w:val="00BF7614"/>
    <w:rsid w:val="00BF7A1E"/>
    <w:rsid w:val="00C0021D"/>
    <w:rsid w:val="00C005EB"/>
    <w:rsid w:val="00C01E59"/>
    <w:rsid w:val="00C01F60"/>
    <w:rsid w:val="00C06D17"/>
    <w:rsid w:val="00C07D74"/>
    <w:rsid w:val="00C12201"/>
    <w:rsid w:val="00C12FBE"/>
    <w:rsid w:val="00C14787"/>
    <w:rsid w:val="00C14989"/>
    <w:rsid w:val="00C177A0"/>
    <w:rsid w:val="00C20346"/>
    <w:rsid w:val="00C20B01"/>
    <w:rsid w:val="00C2206E"/>
    <w:rsid w:val="00C22270"/>
    <w:rsid w:val="00C22588"/>
    <w:rsid w:val="00C2604E"/>
    <w:rsid w:val="00C271ED"/>
    <w:rsid w:val="00C30BC6"/>
    <w:rsid w:val="00C311E2"/>
    <w:rsid w:val="00C312A7"/>
    <w:rsid w:val="00C31882"/>
    <w:rsid w:val="00C33BD6"/>
    <w:rsid w:val="00C355EB"/>
    <w:rsid w:val="00C35B28"/>
    <w:rsid w:val="00C37AD3"/>
    <w:rsid w:val="00C37BD4"/>
    <w:rsid w:val="00C43D16"/>
    <w:rsid w:val="00C44563"/>
    <w:rsid w:val="00C45BEC"/>
    <w:rsid w:val="00C47248"/>
    <w:rsid w:val="00C476F1"/>
    <w:rsid w:val="00C507F2"/>
    <w:rsid w:val="00C50878"/>
    <w:rsid w:val="00C50E4C"/>
    <w:rsid w:val="00C50F47"/>
    <w:rsid w:val="00C5138A"/>
    <w:rsid w:val="00C53B0B"/>
    <w:rsid w:val="00C557C6"/>
    <w:rsid w:val="00C55804"/>
    <w:rsid w:val="00C55BF4"/>
    <w:rsid w:val="00C5657F"/>
    <w:rsid w:val="00C565AC"/>
    <w:rsid w:val="00C56655"/>
    <w:rsid w:val="00C6103F"/>
    <w:rsid w:val="00C611E2"/>
    <w:rsid w:val="00C616C0"/>
    <w:rsid w:val="00C619EE"/>
    <w:rsid w:val="00C61BF4"/>
    <w:rsid w:val="00C643E2"/>
    <w:rsid w:val="00C662E1"/>
    <w:rsid w:val="00C66A0D"/>
    <w:rsid w:val="00C66AD8"/>
    <w:rsid w:val="00C67348"/>
    <w:rsid w:val="00C677E5"/>
    <w:rsid w:val="00C67DB5"/>
    <w:rsid w:val="00C707A5"/>
    <w:rsid w:val="00C70D96"/>
    <w:rsid w:val="00C71BB5"/>
    <w:rsid w:val="00C71D7F"/>
    <w:rsid w:val="00C7252E"/>
    <w:rsid w:val="00C72FCF"/>
    <w:rsid w:val="00C735E3"/>
    <w:rsid w:val="00C738A5"/>
    <w:rsid w:val="00C739A5"/>
    <w:rsid w:val="00C74F42"/>
    <w:rsid w:val="00C75166"/>
    <w:rsid w:val="00C75227"/>
    <w:rsid w:val="00C76E45"/>
    <w:rsid w:val="00C7703A"/>
    <w:rsid w:val="00C771F4"/>
    <w:rsid w:val="00C8046C"/>
    <w:rsid w:val="00C812E5"/>
    <w:rsid w:val="00C82D3B"/>
    <w:rsid w:val="00C82E2F"/>
    <w:rsid w:val="00C86FE2"/>
    <w:rsid w:val="00C87FD6"/>
    <w:rsid w:val="00C90312"/>
    <w:rsid w:val="00C90725"/>
    <w:rsid w:val="00C914D9"/>
    <w:rsid w:val="00C92710"/>
    <w:rsid w:val="00C9286D"/>
    <w:rsid w:val="00C92C16"/>
    <w:rsid w:val="00C9379A"/>
    <w:rsid w:val="00C94DFA"/>
    <w:rsid w:val="00C95529"/>
    <w:rsid w:val="00C96023"/>
    <w:rsid w:val="00C966EA"/>
    <w:rsid w:val="00C97562"/>
    <w:rsid w:val="00CA0905"/>
    <w:rsid w:val="00CA0ED0"/>
    <w:rsid w:val="00CA383F"/>
    <w:rsid w:val="00CA4156"/>
    <w:rsid w:val="00CA42B4"/>
    <w:rsid w:val="00CA4ED5"/>
    <w:rsid w:val="00CA6344"/>
    <w:rsid w:val="00CA65D6"/>
    <w:rsid w:val="00CA6C06"/>
    <w:rsid w:val="00CA72EF"/>
    <w:rsid w:val="00CB15C3"/>
    <w:rsid w:val="00CB19EA"/>
    <w:rsid w:val="00CB2604"/>
    <w:rsid w:val="00CB3A4B"/>
    <w:rsid w:val="00CB70E1"/>
    <w:rsid w:val="00CB750E"/>
    <w:rsid w:val="00CB7B49"/>
    <w:rsid w:val="00CB7EB2"/>
    <w:rsid w:val="00CC15B7"/>
    <w:rsid w:val="00CC23C9"/>
    <w:rsid w:val="00CC26FD"/>
    <w:rsid w:val="00CC691B"/>
    <w:rsid w:val="00CC6F8A"/>
    <w:rsid w:val="00CC7113"/>
    <w:rsid w:val="00CD06CB"/>
    <w:rsid w:val="00CD0C46"/>
    <w:rsid w:val="00CD11D6"/>
    <w:rsid w:val="00CD20E1"/>
    <w:rsid w:val="00CD25D9"/>
    <w:rsid w:val="00CD2F72"/>
    <w:rsid w:val="00CD5005"/>
    <w:rsid w:val="00CD51A6"/>
    <w:rsid w:val="00CD5A3E"/>
    <w:rsid w:val="00CD6AB5"/>
    <w:rsid w:val="00CD6D8C"/>
    <w:rsid w:val="00CD751E"/>
    <w:rsid w:val="00CD7D2A"/>
    <w:rsid w:val="00CE0DD0"/>
    <w:rsid w:val="00CE1F51"/>
    <w:rsid w:val="00CE27C9"/>
    <w:rsid w:val="00CE315A"/>
    <w:rsid w:val="00CE32A6"/>
    <w:rsid w:val="00CE3B93"/>
    <w:rsid w:val="00CE4B4D"/>
    <w:rsid w:val="00CF06C5"/>
    <w:rsid w:val="00CF0D09"/>
    <w:rsid w:val="00CF173E"/>
    <w:rsid w:val="00CF1FEC"/>
    <w:rsid w:val="00CF22FF"/>
    <w:rsid w:val="00CF27D0"/>
    <w:rsid w:val="00CF3130"/>
    <w:rsid w:val="00CF46EA"/>
    <w:rsid w:val="00CF5E1A"/>
    <w:rsid w:val="00CF612D"/>
    <w:rsid w:val="00CF637A"/>
    <w:rsid w:val="00CF72ED"/>
    <w:rsid w:val="00CF78E9"/>
    <w:rsid w:val="00D03C07"/>
    <w:rsid w:val="00D04D7D"/>
    <w:rsid w:val="00D04E17"/>
    <w:rsid w:val="00D1118B"/>
    <w:rsid w:val="00D1163C"/>
    <w:rsid w:val="00D11EF2"/>
    <w:rsid w:val="00D131AF"/>
    <w:rsid w:val="00D17B50"/>
    <w:rsid w:val="00D209E8"/>
    <w:rsid w:val="00D20D87"/>
    <w:rsid w:val="00D20EB1"/>
    <w:rsid w:val="00D21B5E"/>
    <w:rsid w:val="00D2247D"/>
    <w:rsid w:val="00D23590"/>
    <w:rsid w:val="00D24374"/>
    <w:rsid w:val="00D2497C"/>
    <w:rsid w:val="00D24D8A"/>
    <w:rsid w:val="00D26BE1"/>
    <w:rsid w:val="00D2795E"/>
    <w:rsid w:val="00D27BBC"/>
    <w:rsid w:val="00D300AD"/>
    <w:rsid w:val="00D300C5"/>
    <w:rsid w:val="00D32106"/>
    <w:rsid w:val="00D32185"/>
    <w:rsid w:val="00D32A74"/>
    <w:rsid w:val="00D33667"/>
    <w:rsid w:val="00D35D49"/>
    <w:rsid w:val="00D402DB"/>
    <w:rsid w:val="00D41004"/>
    <w:rsid w:val="00D426C9"/>
    <w:rsid w:val="00D43582"/>
    <w:rsid w:val="00D44663"/>
    <w:rsid w:val="00D4618A"/>
    <w:rsid w:val="00D46660"/>
    <w:rsid w:val="00D50680"/>
    <w:rsid w:val="00D507BA"/>
    <w:rsid w:val="00D527DB"/>
    <w:rsid w:val="00D52A09"/>
    <w:rsid w:val="00D54E6D"/>
    <w:rsid w:val="00D558E1"/>
    <w:rsid w:val="00D56721"/>
    <w:rsid w:val="00D5797D"/>
    <w:rsid w:val="00D607E4"/>
    <w:rsid w:val="00D61A71"/>
    <w:rsid w:val="00D642F5"/>
    <w:rsid w:val="00D6568D"/>
    <w:rsid w:val="00D66C79"/>
    <w:rsid w:val="00D67A6D"/>
    <w:rsid w:val="00D7044A"/>
    <w:rsid w:val="00D70922"/>
    <w:rsid w:val="00D713D4"/>
    <w:rsid w:val="00D73396"/>
    <w:rsid w:val="00D73BC1"/>
    <w:rsid w:val="00D76006"/>
    <w:rsid w:val="00D76133"/>
    <w:rsid w:val="00D7721C"/>
    <w:rsid w:val="00D77A95"/>
    <w:rsid w:val="00D77AA9"/>
    <w:rsid w:val="00D80085"/>
    <w:rsid w:val="00D807AC"/>
    <w:rsid w:val="00D80B3C"/>
    <w:rsid w:val="00D80DCB"/>
    <w:rsid w:val="00D81B6A"/>
    <w:rsid w:val="00D82033"/>
    <w:rsid w:val="00D82B1E"/>
    <w:rsid w:val="00D85C29"/>
    <w:rsid w:val="00D90726"/>
    <w:rsid w:val="00D9229C"/>
    <w:rsid w:val="00D92580"/>
    <w:rsid w:val="00D92D55"/>
    <w:rsid w:val="00D9336D"/>
    <w:rsid w:val="00D93911"/>
    <w:rsid w:val="00D94E47"/>
    <w:rsid w:val="00D95028"/>
    <w:rsid w:val="00D95362"/>
    <w:rsid w:val="00D953F1"/>
    <w:rsid w:val="00D95870"/>
    <w:rsid w:val="00D9639D"/>
    <w:rsid w:val="00D974A3"/>
    <w:rsid w:val="00D97854"/>
    <w:rsid w:val="00DA1168"/>
    <w:rsid w:val="00DA2A8C"/>
    <w:rsid w:val="00DA2FAA"/>
    <w:rsid w:val="00DA41AC"/>
    <w:rsid w:val="00DA48E5"/>
    <w:rsid w:val="00DA56D8"/>
    <w:rsid w:val="00DA5B93"/>
    <w:rsid w:val="00DA7BE5"/>
    <w:rsid w:val="00DB0047"/>
    <w:rsid w:val="00DB02E6"/>
    <w:rsid w:val="00DB118C"/>
    <w:rsid w:val="00DB1EBD"/>
    <w:rsid w:val="00DB249F"/>
    <w:rsid w:val="00DB26F2"/>
    <w:rsid w:val="00DB2BA7"/>
    <w:rsid w:val="00DB3BF0"/>
    <w:rsid w:val="00DB3C50"/>
    <w:rsid w:val="00DB5D72"/>
    <w:rsid w:val="00DC1E9F"/>
    <w:rsid w:val="00DC428C"/>
    <w:rsid w:val="00DC4AB6"/>
    <w:rsid w:val="00DC4E75"/>
    <w:rsid w:val="00DC65B5"/>
    <w:rsid w:val="00DC776C"/>
    <w:rsid w:val="00DD0442"/>
    <w:rsid w:val="00DD170A"/>
    <w:rsid w:val="00DD1CF3"/>
    <w:rsid w:val="00DD2418"/>
    <w:rsid w:val="00DD5424"/>
    <w:rsid w:val="00DD6336"/>
    <w:rsid w:val="00DD653E"/>
    <w:rsid w:val="00DD77AD"/>
    <w:rsid w:val="00DE0EB3"/>
    <w:rsid w:val="00DE189C"/>
    <w:rsid w:val="00DE2056"/>
    <w:rsid w:val="00DE37F7"/>
    <w:rsid w:val="00DE406A"/>
    <w:rsid w:val="00DE414E"/>
    <w:rsid w:val="00DE5C24"/>
    <w:rsid w:val="00DE5FF8"/>
    <w:rsid w:val="00DF0CF0"/>
    <w:rsid w:val="00DF3179"/>
    <w:rsid w:val="00DF41C2"/>
    <w:rsid w:val="00DF64E0"/>
    <w:rsid w:val="00DF6A2B"/>
    <w:rsid w:val="00DF6E47"/>
    <w:rsid w:val="00DF7116"/>
    <w:rsid w:val="00DF7BA8"/>
    <w:rsid w:val="00E03C69"/>
    <w:rsid w:val="00E05422"/>
    <w:rsid w:val="00E065D3"/>
    <w:rsid w:val="00E06A8D"/>
    <w:rsid w:val="00E11AB2"/>
    <w:rsid w:val="00E12E4C"/>
    <w:rsid w:val="00E1397C"/>
    <w:rsid w:val="00E1428E"/>
    <w:rsid w:val="00E16B0B"/>
    <w:rsid w:val="00E16B5E"/>
    <w:rsid w:val="00E17FDA"/>
    <w:rsid w:val="00E2001A"/>
    <w:rsid w:val="00E20386"/>
    <w:rsid w:val="00E20C31"/>
    <w:rsid w:val="00E231D6"/>
    <w:rsid w:val="00E24A08"/>
    <w:rsid w:val="00E25B7B"/>
    <w:rsid w:val="00E27235"/>
    <w:rsid w:val="00E30060"/>
    <w:rsid w:val="00E3042D"/>
    <w:rsid w:val="00E3119C"/>
    <w:rsid w:val="00E31406"/>
    <w:rsid w:val="00E31E5C"/>
    <w:rsid w:val="00E329FE"/>
    <w:rsid w:val="00E33F21"/>
    <w:rsid w:val="00E34979"/>
    <w:rsid w:val="00E34A7E"/>
    <w:rsid w:val="00E35D93"/>
    <w:rsid w:val="00E3627D"/>
    <w:rsid w:val="00E36991"/>
    <w:rsid w:val="00E36FC0"/>
    <w:rsid w:val="00E379B2"/>
    <w:rsid w:val="00E4057F"/>
    <w:rsid w:val="00E42361"/>
    <w:rsid w:val="00E42395"/>
    <w:rsid w:val="00E42420"/>
    <w:rsid w:val="00E42F6F"/>
    <w:rsid w:val="00E43102"/>
    <w:rsid w:val="00E4355E"/>
    <w:rsid w:val="00E44CF1"/>
    <w:rsid w:val="00E461EB"/>
    <w:rsid w:val="00E47572"/>
    <w:rsid w:val="00E5070A"/>
    <w:rsid w:val="00E521CC"/>
    <w:rsid w:val="00E52F2A"/>
    <w:rsid w:val="00E534FB"/>
    <w:rsid w:val="00E53FE1"/>
    <w:rsid w:val="00E54EC5"/>
    <w:rsid w:val="00E552F4"/>
    <w:rsid w:val="00E577D9"/>
    <w:rsid w:val="00E57921"/>
    <w:rsid w:val="00E60194"/>
    <w:rsid w:val="00E625D4"/>
    <w:rsid w:val="00E62B6D"/>
    <w:rsid w:val="00E637B3"/>
    <w:rsid w:val="00E63A87"/>
    <w:rsid w:val="00E63C92"/>
    <w:rsid w:val="00E6416D"/>
    <w:rsid w:val="00E665A5"/>
    <w:rsid w:val="00E66CF8"/>
    <w:rsid w:val="00E70AB7"/>
    <w:rsid w:val="00E7187F"/>
    <w:rsid w:val="00E719FF"/>
    <w:rsid w:val="00E72A6C"/>
    <w:rsid w:val="00E73A91"/>
    <w:rsid w:val="00E777B2"/>
    <w:rsid w:val="00E77A45"/>
    <w:rsid w:val="00E77E7E"/>
    <w:rsid w:val="00E80010"/>
    <w:rsid w:val="00E8224D"/>
    <w:rsid w:val="00E83174"/>
    <w:rsid w:val="00E83C0B"/>
    <w:rsid w:val="00E83E1F"/>
    <w:rsid w:val="00E85CA0"/>
    <w:rsid w:val="00E86D6D"/>
    <w:rsid w:val="00E8748B"/>
    <w:rsid w:val="00E87876"/>
    <w:rsid w:val="00E87979"/>
    <w:rsid w:val="00E87D99"/>
    <w:rsid w:val="00E904F8"/>
    <w:rsid w:val="00E92CB3"/>
    <w:rsid w:val="00E93C98"/>
    <w:rsid w:val="00E941B6"/>
    <w:rsid w:val="00E94BA6"/>
    <w:rsid w:val="00E978FA"/>
    <w:rsid w:val="00EA018A"/>
    <w:rsid w:val="00EA0354"/>
    <w:rsid w:val="00EA144A"/>
    <w:rsid w:val="00EA2BCB"/>
    <w:rsid w:val="00EA2E91"/>
    <w:rsid w:val="00EA381F"/>
    <w:rsid w:val="00EA6ADC"/>
    <w:rsid w:val="00EB1913"/>
    <w:rsid w:val="00EB3073"/>
    <w:rsid w:val="00EB4759"/>
    <w:rsid w:val="00EB4E4E"/>
    <w:rsid w:val="00EB663A"/>
    <w:rsid w:val="00EC07D8"/>
    <w:rsid w:val="00EC1A0F"/>
    <w:rsid w:val="00EC3D41"/>
    <w:rsid w:val="00EC4357"/>
    <w:rsid w:val="00EC6961"/>
    <w:rsid w:val="00EC6EF7"/>
    <w:rsid w:val="00ED0BEC"/>
    <w:rsid w:val="00ED2B6A"/>
    <w:rsid w:val="00ED31ED"/>
    <w:rsid w:val="00ED36AD"/>
    <w:rsid w:val="00ED402B"/>
    <w:rsid w:val="00ED408F"/>
    <w:rsid w:val="00ED6309"/>
    <w:rsid w:val="00EE0065"/>
    <w:rsid w:val="00EE0281"/>
    <w:rsid w:val="00EE47B3"/>
    <w:rsid w:val="00EE60D2"/>
    <w:rsid w:val="00EE6A09"/>
    <w:rsid w:val="00EE6B58"/>
    <w:rsid w:val="00EE7140"/>
    <w:rsid w:val="00EE7C49"/>
    <w:rsid w:val="00EF0C26"/>
    <w:rsid w:val="00EF1D33"/>
    <w:rsid w:val="00EF3063"/>
    <w:rsid w:val="00EF3863"/>
    <w:rsid w:val="00EF46BD"/>
    <w:rsid w:val="00EF49A9"/>
    <w:rsid w:val="00EF4FEA"/>
    <w:rsid w:val="00EF52E6"/>
    <w:rsid w:val="00F01981"/>
    <w:rsid w:val="00F01E1C"/>
    <w:rsid w:val="00F03F2F"/>
    <w:rsid w:val="00F047C0"/>
    <w:rsid w:val="00F05A49"/>
    <w:rsid w:val="00F05A4C"/>
    <w:rsid w:val="00F06DC1"/>
    <w:rsid w:val="00F06DE7"/>
    <w:rsid w:val="00F10B1F"/>
    <w:rsid w:val="00F11606"/>
    <w:rsid w:val="00F123FB"/>
    <w:rsid w:val="00F13C66"/>
    <w:rsid w:val="00F13E05"/>
    <w:rsid w:val="00F13E84"/>
    <w:rsid w:val="00F14AA6"/>
    <w:rsid w:val="00F1586F"/>
    <w:rsid w:val="00F15A3F"/>
    <w:rsid w:val="00F20B22"/>
    <w:rsid w:val="00F20E8B"/>
    <w:rsid w:val="00F212C2"/>
    <w:rsid w:val="00F21467"/>
    <w:rsid w:val="00F22C4E"/>
    <w:rsid w:val="00F231AE"/>
    <w:rsid w:val="00F231D1"/>
    <w:rsid w:val="00F23603"/>
    <w:rsid w:val="00F25F3C"/>
    <w:rsid w:val="00F31ADB"/>
    <w:rsid w:val="00F3305A"/>
    <w:rsid w:val="00F334A0"/>
    <w:rsid w:val="00F33607"/>
    <w:rsid w:val="00F33BB3"/>
    <w:rsid w:val="00F345EB"/>
    <w:rsid w:val="00F352B0"/>
    <w:rsid w:val="00F35EBD"/>
    <w:rsid w:val="00F36AFC"/>
    <w:rsid w:val="00F36B20"/>
    <w:rsid w:val="00F41D10"/>
    <w:rsid w:val="00F427A4"/>
    <w:rsid w:val="00F45376"/>
    <w:rsid w:val="00F45951"/>
    <w:rsid w:val="00F46609"/>
    <w:rsid w:val="00F468AD"/>
    <w:rsid w:val="00F46AFD"/>
    <w:rsid w:val="00F50EFF"/>
    <w:rsid w:val="00F513B9"/>
    <w:rsid w:val="00F5187F"/>
    <w:rsid w:val="00F51C9A"/>
    <w:rsid w:val="00F53EF8"/>
    <w:rsid w:val="00F5459F"/>
    <w:rsid w:val="00F55B2B"/>
    <w:rsid w:val="00F600A0"/>
    <w:rsid w:val="00F60B90"/>
    <w:rsid w:val="00F614DB"/>
    <w:rsid w:val="00F63D24"/>
    <w:rsid w:val="00F66FA5"/>
    <w:rsid w:val="00F672E7"/>
    <w:rsid w:val="00F67516"/>
    <w:rsid w:val="00F70FC3"/>
    <w:rsid w:val="00F73395"/>
    <w:rsid w:val="00F73580"/>
    <w:rsid w:val="00F7371F"/>
    <w:rsid w:val="00F767CF"/>
    <w:rsid w:val="00F82A8F"/>
    <w:rsid w:val="00F8371B"/>
    <w:rsid w:val="00F83B8D"/>
    <w:rsid w:val="00F83EA8"/>
    <w:rsid w:val="00F84995"/>
    <w:rsid w:val="00F8570C"/>
    <w:rsid w:val="00F85E21"/>
    <w:rsid w:val="00F85EDB"/>
    <w:rsid w:val="00F879D9"/>
    <w:rsid w:val="00F87CAE"/>
    <w:rsid w:val="00F906D7"/>
    <w:rsid w:val="00F92306"/>
    <w:rsid w:val="00F92C32"/>
    <w:rsid w:val="00F94845"/>
    <w:rsid w:val="00F94915"/>
    <w:rsid w:val="00F94A16"/>
    <w:rsid w:val="00F95A92"/>
    <w:rsid w:val="00F95DBC"/>
    <w:rsid w:val="00F96CED"/>
    <w:rsid w:val="00F97CF4"/>
    <w:rsid w:val="00F97D60"/>
    <w:rsid w:val="00FA0C51"/>
    <w:rsid w:val="00FA24FC"/>
    <w:rsid w:val="00FA4B56"/>
    <w:rsid w:val="00FA5F16"/>
    <w:rsid w:val="00FA6CD3"/>
    <w:rsid w:val="00FB00E2"/>
    <w:rsid w:val="00FB15FC"/>
    <w:rsid w:val="00FB1A1D"/>
    <w:rsid w:val="00FB1F1F"/>
    <w:rsid w:val="00FB2620"/>
    <w:rsid w:val="00FB2798"/>
    <w:rsid w:val="00FB324E"/>
    <w:rsid w:val="00FB55B1"/>
    <w:rsid w:val="00FB605D"/>
    <w:rsid w:val="00FB68B3"/>
    <w:rsid w:val="00FB7579"/>
    <w:rsid w:val="00FB7C61"/>
    <w:rsid w:val="00FC354C"/>
    <w:rsid w:val="00FC35D6"/>
    <w:rsid w:val="00FC39FA"/>
    <w:rsid w:val="00FC6D71"/>
    <w:rsid w:val="00FC6F69"/>
    <w:rsid w:val="00FD08E2"/>
    <w:rsid w:val="00FD1EED"/>
    <w:rsid w:val="00FD2FF2"/>
    <w:rsid w:val="00FD367D"/>
    <w:rsid w:val="00FD3EC6"/>
    <w:rsid w:val="00FE077D"/>
    <w:rsid w:val="00FE1D74"/>
    <w:rsid w:val="00FE22B8"/>
    <w:rsid w:val="00FE3EB5"/>
    <w:rsid w:val="00FE4FD7"/>
    <w:rsid w:val="00FE5059"/>
    <w:rsid w:val="00FE6200"/>
    <w:rsid w:val="00FE7905"/>
    <w:rsid w:val="00FF2FB5"/>
    <w:rsid w:val="00FF3807"/>
    <w:rsid w:val="00FF391F"/>
    <w:rsid w:val="00FF436E"/>
    <w:rsid w:val="00FF569B"/>
    <w:rsid w:val="00FF5906"/>
    <w:rsid w:val="00FF6088"/>
    <w:rsid w:val="01606EE3"/>
    <w:rsid w:val="022407BE"/>
    <w:rsid w:val="024C0602"/>
    <w:rsid w:val="031429AA"/>
    <w:rsid w:val="03163234"/>
    <w:rsid w:val="03C16D4A"/>
    <w:rsid w:val="043966E4"/>
    <w:rsid w:val="043E20D7"/>
    <w:rsid w:val="048567E7"/>
    <w:rsid w:val="04EF44E5"/>
    <w:rsid w:val="059353B8"/>
    <w:rsid w:val="063E34ED"/>
    <w:rsid w:val="065D1927"/>
    <w:rsid w:val="0A9A7A78"/>
    <w:rsid w:val="0B3A494C"/>
    <w:rsid w:val="0C76384C"/>
    <w:rsid w:val="0D72743C"/>
    <w:rsid w:val="0DC4426A"/>
    <w:rsid w:val="0E246323"/>
    <w:rsid w:val="0ED0054C"/>
    <w:rsid w:val="0F0338BD"/>
    <w:rsid w:val="0F635E53"/>
    <w:rsid w:val="0F862BC9"/>
    <w:rsid w:val="10F322C5"/>
    <w:rsid w:val="11D94E56"/>
    <w:rsid w:val="12F370A9"/>
    <w:rsid w:val="132670EA"/>
    <w:rsid w:val="13270514"/>
    <w:rsid w:val="148306BA"/>
    <w:rsid w:val="1586433D"/>
    <w:rsid w:val="165568F0"/>
    <w:rsid w:val="16A967C0"/>
    <w:rsid w:val="16E17F40"/>
    <w:rsid w:val="17116420"/>
    <w:rsid w:val="176F6B0D"/>
    <w:rsid w:val="17E02620"/>
    <w:rsid w:val="1A053611"/>
    <w:rsid w:val="1B5F298B"/>
    <w:rsid w:val="1D3F1931"/>
    <w:rsid w:val="1F1C5F1C"/>
    <w:rsid w:val="207C4208"/>
    <w:rsid w:val="209A3CDE"/>
    <w:rsid w:val="20B640B1"/>
    <w:rsid w:val="215E1D81"/>
    <w:rsid w:val="21FE4738"/>
    <w:rsid w:val="226A2F4A"/>
    <w:rsid w:val="23365A4A"/>
    <w:rsid w:val="23AF0390"/>
    <w:rsid w:val="24B51AD4"/>
    <w:rsid w:val="24DC401A"/>
    <w:rsid w:val="25435C5C"/>
    <w:rsid w:val="25EB5DBA"/>
    <w:rsid w:val="266C5D28"/>
    <w:rsid w:val="27395669"/>
    <w:rsid w:val="287C7510"/>
    <w:rsid w:val="28E10988"/>
    <w:rsid w:val="292750FE"/>
    <w:rsid w:val="29DC2898"/>
    <w:rsid w:val="2B511BF0"/>
    <w:rsid w:val="2CA67E5C"/>
    <w:rsid w:val="2D48480E"/>
    <w:rsid w:val="2D554F32"/>
    <w:rsid w:val="2DB41B88"/>
    <w:rsid w:val="2E026F21"/>
    <w:rsid w:val="2E8B2174"/>
    <w:rsid w:val="2EA52293"/>
    <w:rsid w:val="2F014596"/>
    <w:rsid w:val="2F620FF1"/>
    <w:rsid w:val="301B44D5"/>
    <w:rsid w:val="301E780A"/>
    <w:rsid w:val="306E5F49"/>
    <w:rsid w:val="31C17AB6"/>
    <w:rsid w:val="32441CC2"/>
    <w:rsid w:val="327D4A24"/>
    <w:rsid w:val="328E2022"/>
    <w:rsid w:val="33337274"/>
    <w:rsid w:val="339C6590"/>
    <w:rsid w:val="33C013C9"/>
    <w:rsid w:val="33C12851"/>
    <w:rsid w:val="344B696C"/>
    <w:rsid w:val="3504317E"/>
    <w:rsid w:val="3578457B"/>
    <w:rsid w:val="35D15B60"/>
    <w:rsid w:val="3609575D"/>
    <w:rsid w:val="36D933F7"/>
    <w:rsid w:val="37BA6DC9"/>
    <w:rsid w:val="38140581"/>
    <w:rsid w:val="390C3205"/>
    <w:rsid w:val="39450400"/>
    <w:rsid w:val="39DB6AF4"/>
    <w:rsid w:val="3AA91A44"/>
    <w:rsid w:val="3B3730EA"/>
    <w:rsid w:val="3B6F4564"/>
    <w:rsid w:val="3C1E66AC"/>
    <w:rsid w:val="3D3C16EC"/>
    <w:rsid w:val="3DD86EC1"/>
    <w:rsid w:val="3FC8588E"/>
    <w:rsid w:val="41CA5B54"/>
    <w:rsid w:val="421622C2"/>
    <w:rsid w:val="42B649D7"/>
    <w:rsid w:val="434F5F00"/>
    <w:rsid w:val="43E26E21"/>
    <w:rsid w:val="44012A50"/>
    <w:rsid w:val="445434D5"/>
    <w:rsid w:val="44CA463D"/>
    <w:rsid w:val="46164C27"/>
    <w:rsid w:val="46257CC2"/>
    <w:rsid w:val="4630745C"/>
    <w:rsid w:val="463317DC"/>
    <w:rsid w:val="46486E09"/>
    <w:rsid w:val="469D6D4F"/>
    <w:rsid w:val="472D3306"/>
    <w:rsid w:val="47507ADF"/>
    <w:rsid w:val="47A66587"/>
    <w:rsid w:val="481D2068"/>
    <w:rsid w:val="48266B94"/>
    <w:rsid w:val="48612E9B"/>
    <w:rsid w:val="48DB5795"/>
    <w:rsid w:val="49366CE3"/>
    <w:rsid w:val="4B5651C7"/>
    <w:rsid w:val="4B6E69ED"/>
    <w:rsid w:val="4B845122"/>
    <w:rsid w:val="4C10158C"/>
    <w:rsid w:val="4CD96AAB"/>
    <w:rsid w:val="4D476743"/>
    <w:rsid w:val="4D650445"/>
    <w:rsid w:val="4E191B92"/>
    <w:rsid w:val="4EED08DE"/>
    <w:rsid w:val="4FE9017C"/>
    <w:rsid w:val="5252054D"/>
    <w:rsid w:val="53057497"/>
    <w:rsid w:val="532B12AE"/>
    <w:rsid w:val="540E18DC"/>
    <w:rsid w:val="55193C33"/>
    <w:rsid w:val="557960B8"/>
    <w:rsid w:val="55C92021"/>
    <w:rsid w:val="55CF1FE2"/>
    <w:rsid w:val="5630720D"/>
    <w:rsid w:val="56427120"/>
    <w:rsid w:val="56B9387E"/>
    <w:rsid w:val="57AB6821"/>
    <w:rsid w:val="584B01C3"/>
    <w:rsid w:val="58737F30"/>
    <w:rsid w:val="5A752B0C"/>
    <w:rsid w:val="5AC5149F"/>
    <w:rsid w:val="5C1B16A7"/>
    <w:rsid w:val="5D5A3A51"/>
    <w:rsid w:val="5DDA5E5F"/>
    <w:rsid w:val="5EEB451D"/>
    <w:rsid w:val="613B4DDF"/>
    <w:rsid w:val="61464B63"/>
    <w:rsid w:val="634C4304"/>
    <w:rsid w:val="63967C8B"/>
    <w:rsid w:val="63B2292D"/>
    <w:rsid w:val="6425214D"/>
    <w:rsid w:val="64767A89"/>
    <w:rsid w:val="654004EA"/>
    <w:rsid w:val="66BE28EB"/>
    <w:rsid w:val="66E7762E"/>
    <w:rsid w:val="670F3BF9"/>
    <w:rsid w:val="671001B7"/>
    <w:rsid w:val="67127DDF"/>
    <w:rsid w:val="67EC056C"/>
    <w:rsid w:val="68EB2AFA"/>
    <w:rsid w:val="69946236"/>
    <w:rsid w:val="69C7309A"/>
    <w:rsid w:val="6A1F35C5"/>
    <w:rsid w:val="6A490E98"/>
    <w:rsid w:val="6A4D4327"/>
    <w:rsid w:val="6B2F11E8"/>
    <w:rsid w:val="6B67745D"/>
    <w:rsid w:val="6C00111C"/>
    <w:rsid w:val="6CD444C9"/>
    <w:rsid w:val="6D1379DE"/>
    <w:rsid w:val="6D8D3140"/>
    <w:rsid w:val="6DAE04DD"/>
    <w:rsid w:val="6E7845A0"/>
    <w:rsid w:val="6EDB666A"/>
    <w:rsid w:val="6EF0718B"/>
    <w:rsid w:val="6F0B2439"/>
    <w:rsid w:val="6FC526B4"/>
    <w:rsid w:val="72A37F3C"/>
    <w:rsid w:val="735144C8"/>
    <w:rsid w:val="740023B8"/>
    <w:rsid w:val="74D07A37"/>
    <w:rsid w:val="756C25F6"/>
    <w:rsid w:val="76BFCB3D"/>
    <w:rsid w:val="789145DF"/>
    <w:rsid w:val="79B31825"/>
    <w:rsid w:val="7A040050"/>
    <w:rsid w:val="7BD62F93"/>
    <w:rsid w:val="7BE141DD"/>
    <w:rsid w:val="7C2925C7"/>
    <w:rsid w:val="7DF7273A"/>
    <w:rsid w:val="7EA85FD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unhideWhenUsed="0" w:uiPriority="0"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qFormat="1" w:unhideWhenUsed="0" w:uiPriority="0"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99" w:semiHidden="0" w:name="Emphasis"/>
    <w:lsdException w:qFormat="1" w:unhideWhenUsed="0" w:uiPriority="99" w:name="Document Map"/>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Calibri" w:hAnsi="Calibri" w:eastAsia="宋体" w:cs="Times New Roman"/>
      <w:kern w:val="2"/>
      <w:sz w:val="28"/>
      <w:szCs w:val="24"/>
      <w:lang w:val="en-US" w:eastAsia="zh-CN" w:bidi="ar-SA"/>
    </w:rPr>
  </w:style>
  <w:style w:type="paragraph" w:styleId="4">
    <w:name w:val="heading 1"/>
    <w:basedOn w:val="1"/>
    <w:next w:val="1"/>
    <w:link w:val="28"/>
    <w:qFormat/>
    <w:uiPriority w:val="99"/>
    <w:pPr>
      <w:keepNext/>
      <w:keepLines/>
      <w:spacing w:before="340" w:after="330" w:line="576" w:lineRule="auto"/>
      <w:outlineLvl w:val="0"/>
    </w:pPr>
    <w:rPr>
      <w:rFonts w:eastAsia="黑体"/>
      <w:kern w:val="44"/>
      <w:sz w:val="36"/>
    </w:rPr>
  </w:style>
  <w:style w:type="paragraph" w:styleId="5">
    <w:name w:val="heading 2"/>
    <w:basedOn w:val="1"/>
    <w:next w:val="1"/>
    <w:link w:val="29"/>
    <w:qFormat/>
    <w:uiPriority w:val="99"/>
    <w:pPr>
      <w:keepNext/>
      <w:keepLines/>
      <w:spacing w:before="260" w:after="260" w:line="415" w:lineRule="auto"/>
      <w:ind w:firstLine="0" w:firstLineChars="0"/>
      <w:outlineLvl w:val="1"/>
    </w:pPr>
    <w:rPr>
      <w:rFonts w:ascii="Calibri Light" w:hAnsi="Calibri Light"/>
      <w:b/>
      <w:bCs/>
      <w:szCs w:val="32"/>
    </w:rPr>
  </w:style>
  <w:style w:type="paragraph" w:styleId="6">
    <w:name w:val="heading 3"/>
    <w:basedOn w:val="1"/>
    <w:next w:val="1"/>
    <w:link w:val="30"/>
    <w:qFormat/>
    <w:uiPriority w:val="99"/>
    <w:pPr>
      <w:keepNext/>
      <w:keepLines/>
      <w:spacing w:before="260" w:after="260" w:line="415" w:lineRule="auto"/>
      <w:ind w:firstLine="0" w:firstLineChars="0"/>
      <w:outlineLvl w:val="2"/>
    </w:pPr>
    <w:rPr>
      <w:b/>
      <w:bCs/>
      <w:szCs w:val="32"/>
    </w:rPr>
  </w:style>
  <w:style w:type="character" w:default="1" w:styleId="23">
    <w:name w:val="Default Paragraph Font"/>
    <w:semiHidden/>
    <w:qFormat/>
    <w:uiPriority w:val="99"/>
  </w:style>
  <w:style w:type="table" w:default="1" w:styleId="21">
    <w:name w:val="Normal Table"/>
    <w:semiHidden/>
    <w:unhideWhenUsed/>
    <w:qFormat/>
    <w:uiPriority w:val="99"/>
    <w:tblPr>
      <w:tblCellMar>
        <w:top w:w="0" w:type="dxa"/>
        <w:left w:w="108" w:type="dxa"/>
        <w:bottom w:w="0" w:type="dxa"/>
        <w:right w:w="108" w:type="dxa"/>
      </w:tblCellMar>
    </w:tblPr>
  </w:style>
  <w:style w:type="paragraph" w:customStyle="1" w:styleId="2">
    <w:name w:val="章标题"/>
    <w:basedOn w:val="1"/>
    <w:next w:val="3"/>
    <w:qFormat/>
    <w:uiPriority w:val="99"/>
    <w:pPr>
      <w:widowControl/>
      <w:spacing w:before="158" w:after="153" w:line="323" w:lineRule="atLeast"/>
      <w:ind w:right="-120"/>
      <w:jc w:val="center"/>
      <w:textAlignment w:val="baseline"/>
    </w:pPr>
    <w:rPr>
      <w:color w:val="FF0000"/>
      <w:sz w:val="18"/>
    </w:rPr>
  </w:style>
  <w:style w:type="paragraph" w:customStyle="1" w:styleId="3">
    <w:name w:val="节标题"/>
    <w:basedOn w:val="1"/>
    <w:next w:val="1"/>
    <w:qFormat/>
    <w:uiPriority w:val="99"/>
    <w:pPr>
      <w:widowControl/>
      <w:spacing w:line="289" w:lineRule="atLeast"/>
      <w:jc w:val="center"/>
      <w:textAlignment w:val="baseline"/>
    </w:pPr>
    <w:rPr>
      <w:color w:val="000000"/>
      <w:sz w:val="28"/>
    </w:rPr>
  </w:style>
  <w:style w:type="paragraph" w:styleId="7">
    <w:name w:val="Document Map"/>
    <w:basedOn w:val="1"/>
    <w:link w:val="31"/>
    <w:semiHidden/>
    <w:qFormat/>
    <w:uiPriority w:val="99"/>
    <w:pPr>
      <w:shd w:val="clear" w:color="auto" w:fill="000080"/>
    </w:pPr>
  </w:style>
  <w:style w:type="paragraph" w:styleId="8">
    <w:name w:val="annotation text"/>
    <w:basedOn w:val="1"/>
    <w:link w:val="32"/>
    <w:qFormat/>
    <w:uiPriority w:val="99"/>
    <w:pPr>
      <w:jc w:val="left"/>
    </w:pPr>
  </w:style>
  <w:style w:type="paragraph" w:styleId="9">
    <w:name w:val="Body Text Indent"/>
    <w:basedOn w:val="1"/>
    <w:qFormat/>
    <w:locked/>
    <w:uiPriority w:val="0"/>
    <w:pPr>
      <w:spacing w:after="120"/>
      <w:ind w:left="420" w:leftChars="200"/>
    </w:pPr>
  </w:style>
  <w:style w:type="paragraph" w:styleId="10">
    <w:name w:val="toc 3"/>
    <w:basedOn w:val="1"/>
    <w:next w:val="1"/>
    <w:qFormat/>
    <w:uiPriority w:val="99"/>
    <w:pPr>
      <w:ind w:left="840" w:leftChars="400"/>
    </w:pPr>
  </w:style>
  <w:style w:type="paragraph" w:styleId="11">
    <w:name w:val="Balloon Text"/>
    <w:basedOn w:val="1"/>
    <w:link w:val="33"/>
    <w:qFormat/>
    <w:uiPriority w:val="99"/>
    <w:rPr>
      <w:sz w:val="18"/>
      <w:szCs w:val="18"/>
    </w:rPr>
  </w:style>
  <w:style w:type="paragraph" w:styleId="12">
    <w:name w:val="footer"/>
    <w:basedOn w:val="1"/>
    <w:link w:val="34"/>
    <w:qFormat/>
    <w:uiPriority w:val="99"/>
    <w:pPr>
      <w:tabs>
        <w:tab w:val="center" w:pos="4153"/>
        <w:tab w:val="right" w:pos="8306"/>
      </w:tabs>
      <w:snapToGrid w:val="0"/>
      <w:jc w:val="left"/>
    </w:pPr>
    <w:rPr>
      <w:sz w:val="18"/>
    </w:rPr>
  </w:style>
  <w:style w:type="paragraph" w:styleId="13">
    <w:name w:val="header"/>
    <w:basedOn w:val="1"/>
    <w:link w:val="3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99"/>
    <w:pPr>
      <w:spacing w:before="100" w:after="100" w:line="600" w:lineRule="exact"/>
      <w:ind w:firstLine="0" w:firstLineChars="0"/>
    </w:pPr>
    <w:rPr>
      <w:b/>
      <w:sz w:val="32"/>
    </w:rPr>
  </w:style>
  <w:style w:type="paragraph" w:styleId="15">
    <w:name w:val="toc 2"/>
    <w:basedOn w:val="1"/>
    <w:next w:val="1"/>
    <w:qFormat/>
    <w:uiPriority w:val="99"/>
    <w:pPr>
      <w:ind w:left="200" w:leftChars="200" w:firstLine="0" w:firstLineChars="0"/>
    </w:pPr>
  </w:style>
  <w:style w:type="paragraph" w:styleId="16">
    <w:name w:val="Body Text 2"/>
    <w:basedOn w:val="1"/>
    <w:link w:val="36"/>
    <w:qFormat/>
    <w:uiPriority w:val="99"/>
    <w:pPr>
      <w:jc w:val="center"/>
    </w:pPr>
    <w:rPr>
      <w:sz w:val="30"/>
    </w:rPr>
  </w:style>
  <w:style w:type="paragraph" w:styleId="17">
    <w:name w:val="Normal (Web)"/>
    <w:basedOn w:val="1"/>
    <w:qFormat/>
    <w:uiPriority w:val="99"/>
    <w:pPr>
      <w:spacing w:beforeAutospacing="1" w:afterAutospacing="1"/>
      <w:jc w:val="left"/>
    </w:pPr>
    <w:rPr>
      <w:kern w:val="0"/>
      <w:sz w:val="24"/>
    </w:rPr>
  </w:style>
  <w:style w:type="paragraph" w:styleId="18">
    <w:name w:val="Title"/>
    <w:basedOn w:val="1"/>
    <w:next w:val="1"/>
    <w:link w:val="37"/>
    <w:qFormat/>
    <w:uiPriority w:val="99"/>
    <w:pPr>
      <w:spacing w:before="240" w:after="60"/>
      <w:jc w:val="center"/>
      <w:outlineLvl w:val="0"/>
    </w:pPr>
    <w:rPr>
      <w:rFonts w:ascii="Calibri Light" w:hAnsi="Calibri Light"/>
      <w:b/>
      <w:bCs/>
      <w:sz w:val="32"/>
      <w:szCs w:val="32"/>
    </w:rPr>
  </w:style>
  <w:style w:type="paragraph" w:styleId="19">
    <w:name w:val="annotation subject"/>
    <w:basedOn w:val="8"/>
    <w:next w:val="8"/>
    <w:link w:val="38"/>
    <w:qFormat/>
    <w:uiPriority w:val="99"/>
    <w:rPr>
      <w:b/>
      <w:bCs/>
    </w:rPr>
  </w:style>
  <w:style w:type="paragraph" w:styleId="20">
    <w:name w:val="Body Text First Indent 2"/>
    <w:basedOn w:val="9"/>
    <w:next w:val="1"/>
    <w:qFormat/>
    <w:locked/>
    <w:uiPriority w:val="0"/>
    <w:pPr>
      <w:ind w:firstLine="420" w:firstLineChars="200"/>
    </w:pPr>
  </w:style>
  <w:style w:type="table" w:styleId="22">
    <w:name w:val="Table Grid"/>
    <w:basedOn w:val="2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FollowedHyperlink"/>
    <w:basedOn w:val="23"/>
    <w:qFormat/>
    <w:uiPriority w:val="99"/>
    <w:rPr>
      <w:rFonts w:cs="Times New Roman"/>
      <w:color w:val="800080"/>
      <w:u w:val="single"/>
    </w:rPr>
  </w:style>
  <w:style w:type="character" w:styleId="25">
    <w:name w:val="Emphasis"/>
    <w:basedOn w:val="23"/>
    <w:qFormat/>
    <w:uiPriority w:val="99"/>
    <w:rPr>
      <w:rFonts w:cs="Times New Roman"/>
      <w:i/>
      <w:iCs/>
    </w:rPr>
  </w:style>
  <w:style w:type="character" w:styleId="26">
    <w:name w:val="Hyperlink"/>
    <w:basedOn w:val="23"/>
    <w:qFormat/>
    <w:uiPriority w:val="99"/>
    <w:rPr>
      <w:rFonts w:cs="Times New Roman"/>
      <w:color w:val="0563C1"/>
      <w:u w:val="single"/>
    </w:rPr>
  </w:style>
  <w:style w:type="character" w:styleId="27">
    <w:name w:val="annotation reference"/>
    <w:basedOn w:val="23"/>
    <w:qFormat/>
    <w:uiPriority w:val="99"/>
    <w:rPr>
      <w:rFonts w:cs="Times New Roman"/>
      <w:sz w:val="21"/>
      <w:szCs w:val="21"/>
    </w:rPr>
  </w:style>
  <w:style w:type="character" w:customStyle="1" w:styleId="28">
    <w:name w:val="Heading 1 Char"/>
    <w:basedOn w:val="23"/>
    <w:link w:val="4"/>
    <w:qFormat/>
    <w:locked/>
    <w:uiPriority w:val="99"/>
    <w:rPr>
      <w:rFonts w:ascii="Calibri" w:hAnsi="Calibri" w:cs="Times New Roman"/>
      <w:b/>
      <w:bCs/>
      <w:kern w:val="44"/>
      <w:sz w:val="44"/>
      <w:szCs w:val="44"/>
    </w:rPr>
  </w:style>
  <w:style w:type="character" w:customStyle="1" w:styleId="29">
    <w:name w:val="Heading 2 Char"/>
    <w:basedOn w:val="23"/>
    <w:link w:val="5"/>
    <w:qFormat/>
    <w:locked/>
    <w:uiPriority w:val="99"/>
    <w:rPr>
      <w:rFonts w:ascii="Calibri Light" w:hAnsi="Calibri Light" w:cs="Times New Roman"/>
      <w:b/>
      <w:bCs/>
      <w:kern w:val="2"/>
      <w:sz w:val="32"/>
      <w:szCs w:val="32"/>
    </w:rPr>
  </w:style>
  <w:style w:type="character" w:customStyle="1" w:styleId="30">
    <w:name w:val="Heading 3 Char"/>
    <w:basedOn w:val="23"/>
    <w:link w:val="6"/>
    <w:qFormat/>
    <w:locked/>
    <w:uiPriority w:val="99"/>
    <w:rPr>
      <w:rFonts w:eastAsia="Times New Roman" w:cs="Times New Roman"/>
      <w:b/>
      <w:bCs/>
      <w:kern w:val="2"/>
      <w:sz w:val="32"/>
      <w:szCs w:val="32"/>
    </w:rPr>
  </w:style>
  <w:style w:type="character" w:customStyle="1" w:styleId="31">
    <w:name w:val="Document Map Char"/>
    <w:basedOn w:val="23"/>
    <w:link w:val="7"/>
    <w:semiHidden/>
    <w:qFormat/>
    <w:locked/>
    <w:uiPriority w:val="99"/>
    <w:rPr>
      <w:rFonts w:cs="Times New Roman"/>
      <w:sz w:val="2"/>
    </w:rPr>
  </w:style>
  <w:style w:type="character" w:customStyle="1" w:styleId="32">
    <w:name w:val="Comment Text Char"/>
    <w:basedOn w:val="23"/>
    <w:link w:val="8"/>
    <w:qFormat/>
    <w:locked/>
    <w:uiPriority w:val="99"/>
    <w:rPr>
      <w:rFonts w:ascii="Calibri" w:hAnsi="Calibri" w:cs="Times New Roman"/>
      <w:kern w:val="2"/>
      <w:sz w:val="24"/>
      <w:szCs w:val="24"/>
    </w:rPr>
  </w:style>
  <w:style w:type="character" w:customStyle="1" w:styleId="33">
    <w:name w:val="Balloon Text Char"/>
    <w:basedOn w:val="23"/>
    <w:link w:val="11"/>
    <w:qFormat/>
    <w:locked/>
    <w:uiPriority w:val="99"/>
    <w:rPr>
      <w:rFonts w:eastAsia="仿宋" w:cs="Times New Roman"/>
      <w:kern w:val="2"/>
      <w:sz w:val="18"/>
      <w:szCs w:val="18"/>
    </w:rPr>
  </w:style>
  <w:style w:type="character" w:customStyle="1" w:styleId="34">
    <w:name w:val="Footer Char"/>
    <w:basedOn w:val="23"/>
    <w:link w:val="12"/>
    <w:qFormat/>
    <w:locked/>
    <w:uiPriority w:val="99"/>
    <w:rPr>
      <w:rFonts w:eastAsia="仿宋" w:cs="Times New Roman"/>
      <w:kern w:val="2"/>
      <w:sz w:val="24"/>
      <w:szCs w:val="24"/>
    </w:rPr>
  </w:style>
  <w:style w:type="character" w:customStyle="1" w:styleId="35">
    <w:name w:val="Header Char"/>
    <w:basedOn w:val="23"/>
    <w:link w:val="13"/>
    <w:semiHidden/>
    <w:qFormat/>
    <w:locked/>
    <w:uiPriority w:val="99"/>
    <w:rPr>
      <w:rFonts w:ascii="Calibri" w:hAnsi="Calibri" w:cs="Times New Roman"/>
      <w:sz w:val="18"/>
      <w:szCs w:val="18"/>
    </w:rPr>
  </w:style>
  <w:style w:type="character" w:customStyle="1" w:styleId="36">
    <w:name w:val="Body Text 2 Char"/>
    <w:basedOn w:val="23"/>
    <w:link w:val="16"/>
    <w:semiHidden/>
    <w:qFormat/>
    <w:locked/>
    <w:uiPriority w:val="99"/>
    <w:rPr>
      <w:rFonts w:ascii="Calibri" w:hAnsi="Calibri" w:cs="Times New Roman"/>
      <w:sz w:val="24"/>
      <w:szCs w:val="24"/>
    </w:rPr>
  </w:style>
  <w:style w:type="character" w:customStyle="1" w:styleId="37">
    <w:name w:val="Title Char"/>
    <w:basedOn w:val="23"/>
    <w:link w:val="18"/>
    <w:qFormat/>
    <w:locked/>
    <w:uiPriority w:val="99"/>
    <w:rPr>
      <w:rFonts w:ascii="Calibri Light" w:hAnsi="Calibri Light" w:eastAsia="宋体" w:cs="Times New Roman"/>
      <w:b/>
      <w:bCs/>
      <w:kern w:val="2"/>
      <w:sz w:val="32"/>
      <w:szCs w:val="32"/>
    </w:rPr>
  </w:style>
  <w:style w:type="character" w:customStyle="1" w:styleId="38">
    <w:name w:val="Comment Subject Char"/>
    <w:basedOn w:val="32"/>
    <w:link w:val="19"/>
    <w:qFormat/>
    <w:locked/>
    <w:uiPriority w:val="99"/>
    <w:rPr>
      <w:b/>
      <w:bCs/>
    </w:rPr>
  </w:style>
  <w:style w:type="paragraph" w:customStyle="1" w:styleId="39">
    <w:name w:val="正文格式"/>
    <w:link w:val="40"/>
    <w:qFormat/>
    <w:uiPriority w:val="99"/>
    <w:pPr>
      <w:ind w:firstLine="720" w:firstLineChars="200"/>
    </w:pPr>
    <w:rPr>
      <w:rFonts w:ascii="Times New Roman" w:hAnsi="Times New Roman" w:eastAsia="宋体" w:cs="Times New Roman"/>
      <w:kern w:val="0"/>
      <w:sz w:val="22"/>
      <w:szCs w:val="20"/>
      <w:lang w:val="en-US" w:eastAsia="zh-CN" w:bidi="ar-SA"/>
    </w:rPr>
  </w:style>
  <w:style w:type="character" w:customStyle="1" w:styleId="40">
    <w:name w:val="正文字 Char"/>
    <w:link w:val="39"/>
    <w:qFormat/>
    <w:locked/>
    <w:uiPriority w:val="99"/>
    <w:rPr>
      <w:rFonts w:eastAsia="Times New Roman"/>
      <w:sz w:val="22"/>
    </w:rPr>
  </w:style>
  <w:style w:type="paragraph" w:customStyle="1" w:styleId="41">
    <w:name w:val="列出段落1"/>
    <w:basedOn w:val="1"/>
    <w:qFormat/>
    <w:uiPriority w:val="99"/>
    <w:pPr>
      <w:ind w:firstLine="420"/>
    </w:pPr>
  </w:style>
  <w:style w:type="paragraph" w:customStyle="1" w:styleId="42">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4">
    <w:name w:val="xl64"/>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45">
    <w:name w:val="xl65"/>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6">
    <w:name w:val="xl66"/>
    <w:basedOn w:val="1"/>
    <w:qFormat/>
    <w:uiPriority w:val="99"/>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7">
    <w:name w:val="xl67"/>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8">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49">
    <w:name w:val="xl69"/>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4"/>
    </w:rPr>
  </w:style>
  <w:style w:type="paragraph" w:customStyle="1" w:styleId="50">
    <w:name w:val="xl70"/>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宋体" w:hAnsi="宋体" w:cs="宋体"/>
      <w:kern w:val="0"/>
      <w:sz w:val="24"/>
    </w:rPr>
  </w:style>
  <w:style w:type="paragraph" w:customStyle="1" w:styleId="51">
    <w:name w:val="xl71"/>
    <w:basedOn w:val="1"/>
    <w:qFormat/>
    <w:uiPriority w:val="99"/>
    <w:pPr>
      <w:widowControl/>
      <w:pBdr>
        <w:top w:val="single" w:color="auto" w:sz="4" w:space="0"/>
        <w:left w:val="single" w:color="auto" w:sz="4" w:space="0"/>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52">
    <w:name w:val="xl72"/>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3">
    <w:name w:val="xl73"/>
    <w:basedOn w:val="1"/>
    <w:qFormat/>
    <w:uiPriority w:val="99"/>
    <w:pPr>
      <w:widowControl/>
      <w:pBdr>
        <w:top w:val="single" w:color="auto" w:sz="4" w:space="0"/>
        <w:left w:val="single" w:color="auto" w:sz="8"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54">
    <w:name w:val="xl74"/>
    <w:basedOn w:val="1"/>
    <w:qFormat/>
    <w:uiPriority w:val="99"/>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5">
    <w:name w:val="xl75"/>
    <w:basedOn w:val="1"/>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56">
    <w:name w:val="xl76"/>
    <w:basedOn w:val="1"/>
    <w:qFormat/>
    <w:uiPriority w:val="99"/>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57">
    <w:name w:val="xl77"/>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58">
    <w:name w:val="xl78"/>
    <w:basedOn w:val="1"/>
    <w:qFormat/>
    <w:uiPriority w:val="99"/>
    <w:pPr>
      <w:widowControl/>
      <w:pBdr>
        <w:top w:val="single" w:color="auto" w:sz="4" w:space="0"/>
        <w:left w:val="single" w:color="auto" w:sz="4" w:space="0"/>
        <w:bottom w:val="single" w:color="auto" w:sz="4" w:space="0"/>
        <w:right w:val="single" w:color="auto" w:sz="8" w:space="0"/>
      </w:pBdr>
      <w:shd w:val="clear" w:color="000000" w:fill="FFFFFF"/>
      <w:spacing w:before="100" w:beforeAutospacing="1" w:after="100" w:afterAutospacing="1"/>
      <w:jc w:val="center"/>
    </w:pPr>
    <w:rPr>
      <w:rFonts w:ascii="宋体" w:hAnsi="宋体" w:cs="宋体"/>
      <w:kern w:val="0"/>
      <w:sz w:val="24"/>
    </w:rPr>
  </w:style>
  <w:style w:type="paragraph" w:customStyle="1" w:styleId="59">
    <w:name w:val="xl79"/>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60">
    <w:name w:val="表头"/>
    <w:basedOn w:val="1"/>
    <w:link w:val="61"/>
    <w:qFormat/>
    <w:uiPriority w:val="99"/>
    <w:pPr>
      <w:spacing w:after="100" w:line="560" w:lineRule="exact"/>
      <w:ind w:firstLine="0" w:firstLineChars="0"/>
      <w:jc w:val="center"/>
    </w:pPr>
    <w:rPr>
      <w:rFonts w:ascii="Times New Roman" w:hAnsi="Times New Roman"/>
      <w:sz w:val="22"/>
      <w:szCs w:val="20"/>
    </w:rPr>
  </w:style>
  <w:style w:type="character" w:customStyle="1" w:styleId="61">
    <w:name w:val="表头 Char"/>
    <w:link w:val="60"/>
    <w:qFormat/>
    <w:locked/>
    <w:uiPriority w:val="99"/>
    <w:rPr>
      <w:rFonts w:eastAsia="Times New Roman"/>
      <w:kern w:val="2"/>
      <w:sz w:val="22"/>
    </w:rPr>
  </w:style>
  <w:style w:type="paragraph" w:customStyle="1" w:styleId="62">
    <w:name w:val="内表"/>
    <w:basedOn w:val="1"/>
    <w:qFormat/>
    <w:uiPriority w:val="99"/>
    <w:pPr>
      <w:ind w:firstLine="0" w:firstLineChars="0"/>
      <w:jc w:val="center"/>
    </w:pPr>
    <w:rPr>
      <w:rFonts w:ascii="Times New Roman" w:hAnsi="Times New Roman"/>
      <w:sz w:val="21"/>
      <w:szCs w:val="21"/>
    </w:rPr>
  </w:style>
  <w:style w:type="paragraph" w:styleId="63">
    <w:name w:val="List Paragraph"/>
    <w:basedOn w:val="1"/>
    <w:qFormat/>
    <w:uiPriority w:val="99"/>
    <w:pPr>
      <w:ind w:firstLine="420"/>
    </w:pPr>
  </w:style>
  <w:style w:type="character" w:customStyle="1" w:styleId="64">
    <w:name w:val="font51"/>
    <w:basedOn w:val="23"/>
    <w:qFormat/>
    <w:uiPriority w:val="99"/>
    <w:rPr>
      <w:rFonts w:ascii="Times New Roman" w:hAnsi="Times New Roman" w:cs="Times New Roman"/>
      <w:b/>
      <w:color w:val="000000"/>
      <w:sz w:val="21"/>
      <w:szCs w:val="21"/>
      <w:u w:val="none"/>
    </w:rPr>
  </w:style>
  <w:style w:type="character" w:customStyle="1" w:styleId="65">
    <w:name w:val="font31"/>
    <w:basedOn w:val="23"/>
    <w:qFormat/>
    <w:uiPriority w:val="99"/>
    <w:rPr>
      <w:rFonts w:ascii="仿宋" w:hAnsi="仿宋" w:eastAsia="仿宋" w:cs="仿宋"/>
      <w:b/>
      <w:color w:val="000000"/>
      <w:sz w:val="21"/>
      <w:szCs w:val="21"/>
      <w:u w:val="none"/>
    </w:rPr>
  </w:style>
  <w:style w:type="paragraph" w:customStyle="1" w:styleId="66">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3" Type="http://schemas.openxmlformats.org/officeDocument/2006/relationships/fontTable" Target="fontTable.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24.png"/><Relationship Id="rId4" Type="http://schemas.openxmlformats.org/officeDocument/2006/relationships/endnotes" Target="endnotes.xml"/><Relationship Id="rId39" Type="http://schemas.openxmlformats.org/officeDocument/2006/relationships/image" Target="media/image23.png"/><Relationship Id="rId38" Type="http://schemas.openxmlformats.org/officeDocument/2006/relationships/image" Target="media/image22.png"/><Relationship Id="rId37" Type="http://schemas.openxmlformats.org/officeDocument/2006/relationships/image" Target="media/image21.png"/><Relationship Id="rId36" Type="http://schemas.openxmlformats.org/officeDocument/2006/relationships/image" Target="media/image20.png"/><Relationship Id="rId35" Type="http://schemas.openxmlformats.org/officeDocument/2006/relationships/image" Target="media/image19.png"/><Relationship Id="rId34" Type="http://schemas.openxmlformats.org/officeDocument/2006/relationships/image" Target="media/image18.png"/><Relationship Id="rId33" Type="http://schemas.openxmlformats.org/officeDocument/2006/relationships/image" Target="media/image17.png"/><Relationship Id="rId32" Type="http://schemas.openxmlformats.org/officeDocument/2006/relationships/image" Target="media/image16.png"/><Relationship Id="rId31" Type="http://schemas.openxmlformats.org/officeDocument/2006/relationships/image" Target="media/image15.png"/><Relationship Id="rId30" Type="http://schemas.openxmlformats.org/officeDocument/2006/relationships/image" Target="media/image14.png"/><Relationship Id="rId3" Type="http://schemas.openxmlformats.org/officeDocument/2006/relationships/footnotes" Target="footnotes.xml"/><Relationship Id="rId29" Type="http://schemas.openxmlformats.org/officeDocument/2006/relationships/image" Target="media/image13.png"/><Relationship Id="rId28" Type="http://schemas.openxmlformats.org/officeDocument/2006/relationships/image" Target="media/image12.png"/><Relationship Id="rId27" Type="http://schemas.openxmlformats.org/officeDocument/2006/relationships/image" Target="media/image11.png"/><Relationship Id="rId26" Type="http://schemas.openxmlformats.org/officeDocument/2006/relationships/image" Target="media/image10.png"/><Relationship Id="rId25" Type="http://schemas.openxmlformats.org/officeDocument/2006/relationships/image" Target="media/image9.png"/><Relationship Id="rId24" Type="http://schemas.openxmlformats.org/officeDocument/2006/relationships/image" Target="media/image8.png"/><Relationship Id="rId23" Type="http://schemas.openxmlformats.org/officeDocument/2006/relationships/image" Target="media/image7.png"/><Relationship Id="rId22" Type="http://schemas.openxmlformats.org/officeDocument/2006/relationships/image" Target="media/image6.png"/><Relationship Id="rId21" Type="http://schemas.openxmlformats.org/officeDocument/2006/relationships/image" Target="media/image5.png"/><Relationship Id="rId20" Type="http://schemas.openxmlformats.org/officeDocument/2006/relationships/image" Target="media/image4.png"/><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pn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Sky123.Org</Company>
  <Pages>68</Pages>
  <Words>6853</Words>
  <Lines>0</Lines>
  <Paragraphs>0</Paragraphs>
  <TotalTime>0</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2019-07-05T17:53:00Z</dcterms:created>
  <dc:creator>Administrator</dc:creator>
  <cp:lastModifiedBy>user</cp:lastModifiedBy>
  <cp:lastPrinted>2019-03-19T23:51:00Z</cp:lastPrinted>
  <dcterms:modified xsi:type="dcterms:W3CDTF">2023-12-26T11:22:06Z</dcterms:modified>
  <dc:title>遂宁市大英县农村人居环境整治</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